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B17EE" w14:textId="339E8643" w:rsidR="009D6D52" w:rsidRPr="0038282D" w:rsidRDefault="009D6D52" w:rsidP="003E09BA">
      <w:pPr>
        <w:ind w:left="-15" w:right="-2" w:firstLine="15"/>
        <w:jc w:val="center"/>
        <w:rPr>
          <w:b/>
          <w:sz w:val="32"/>
          <w:szCs w:val="32"/>
        </w:rPr>
      </w:pPr>
      <w:r w:rsidRPr="0038282D">
        <w:rPr>
          <w:b/>
          <w:sz w:val="32"/>
          <w:szCs w:val="32"/>
        </w:rPr>
        <w:t>Уважаемый руководитель!</w:t>
      </w:r>
    </w:p>
    <w:p w14:paraId="3C52128D" w14:textId="77777777" w:rsidR="009D6D52" w:rsidRPr="0038282D" w:rsidRDefault="009D6D52" w:rsidP="003E09BA">
      <w:pPr>
        <w:ind w:left="-15" w:right="-2" w:firstLine="15"/>
        <w:jc w:val="center"/>
        <w:rPr>
          <w:b/>
          <w:sz w:val="32"/>
          <w:szCs w:val="32"/>
        </w:rPr>
      </w:pPr>
    </w:p>
    <w:p w14:paraId="6391866A" w14:textId="39DC0484" w:rsidR="009D6D52" w:rsidRPr="0038282D" w:rsidRDefault="009D6D52" w:rsidP="00F16999">
      <w:pPr>
        <w:ind w:firstLine="709"/>
        <w:jc w:val="both"/>
        <w:rPr>
          <w:sz w:val="28"/>
          <w:szCs w:val="28"/>
        </w:rPr>
      </w:pPr>
      <w:r w:rsidRPr="0038282D">
        <w:rPr>
          <w:sz w:val="28"/>
          <w:szCs w:val="28"/>
        </w:rPr>
        <w:t>Территориальный орган Федеральной службы государственной статистики по Донецкой Народной Республике (далее – Донецкстат) в 2024 году будет осуществлять сбор и обработку формы федерального статистического наблюдения № 11 (годовая) «Сведения о наличии и движении основных фондов (средств) и других нефинансовых активов», утвержденной приказом Росстата от 31.07.2023 № 367</w:t>
      </w:r>
      <w:r w:rsidR="00963C2C">
        <w:rPr>
          <w:sz w:val="28"/>
          <w:szCs w:val="28"/>
        </w:rPr>
        <w:t xml:space="preserve"> (с изменениями                     от 11.01.2024 № 3)</w:t>
      </w:r>
      <w:r w:rsidRPr="0038282D">
        <w:rPr>
          <w:sz w:val="28"/>
          <w:szCs w:val="28"/>
        </w:rPr>
        <w:t xml:space="preserve"> (</w:t>
      </w:r>
      <w:proofErr w:type="gramStart"/>
      <w:r w:rsidRPr="0038282D">
        <w:rPr>
          <w:sz w:val="28"/>
          <w:szCs w:val="28"/>
        </w:rPr>
        <w:t xml:space="preserve">далее </w:t>
      </w:r>
      <w:r w:rsidRPr="0038282D">
        <w:rPr>
          <w:sz w:val="28"/>
          <w:szCs w:val="28"/>
        </w:rPr>
        <w:sym w:font="Symbol" w:char="F02D"/>
      </w:r>
      <w:r w:rsidRPr="0038282D">
        <w:rPr>
          <w:sz w:val="28"/>
          <w:szCs w:val="28"/>
        </w:rPr>
        <w:t xml:space="preserve"> форма</w:t>
      </w:r>
      <w:proofErr w:type="gramEnd"/>
      <w:r w:rsidR="00F16999" w:rsidRPr="0038282D">
        <w:rPr>
          <w:sz w:val="28"/>
          <w:szCs w:val="28"/>
        </w:rPr>
        <w:t xml:space="preserve"> </w:t>
      </w:r>
      <w:r w:rsidR="00C013B9" w:rsidRPr="0038282D">
        <w:rPr>
          <w:sz w:val="28"/>
          <w:szCs w:val="28"/>
        </w:rPr>
        <w:t xml:space="preserve">№ </w:t>
      </w:r>
      <w:r w:rsidR="00FA4F50" w:rsidRPr="0038282D">
        <w:rPr>
          <w:sz w:val="28"/>
          <w:szCs w:val="28"/>
        </w:rPr>
        <w:t>11</w:t>
      </w:r>
      <w:r w:rsidRPr="0038282D">
        <w:rPr>
          <w:sz w:val="28"/>
          <w:szCs w:val="28"/>
        </w:rPr>
        <w:t>)</w:t>
      </w:r>
      <w:r w:rsidR="00964B08">
        <w:rPr>
          <w:sz w:val="28"/>
          <w:szCs w:val="28"/>
        </w:rPr>
        <w:t xml:space="preserve"> за 2023 год</w:t>
      </w:r>
      <w:r w:rsidR="00FA4F50" w:rsidRPr="0038282D">
        <w:rPr>
          <w:sz w:val="28"/>
          <w:szCs w:val="28"/>
        </w:rPr>
        <w:t>.</w:t>
      </w:r>
    </w:p>
    <w:p w14:paraId="13356875" w14:textId="58A2DA93" w:rsidR="00FA4F50" w:rsidRPr="0038282D" w:rsidRDefault="00FA4F50" w:rsidP="003E09BA">
      <w:pPr>
        <w:ind w:left="-15" w:right="-2" w:firstLine="724"/>
        <w:jc w:val="both"/>
        <w:rPr>
          <w:sz w:val="28"/>
          <w:szCs w:val="28"/>
        </w:rPr>
      </w:pPr>
      <w:r w:rsidRPr="0038282D">
        <w:rPr>
          <w:sz w:val="28"/>
          <w:szCs w:val="28"/>
        </w:rPr>
        <w:t>Данную форму</w:t>
      </w:r>
      <w:r w:rsidR="00755E38" w:rsidRPr="0038282D">
        <w:rPr>
          <w:sz w:val="28"/>
          <w:szCs w:val="28"/>
        </w:rPr>
        <w:t xml:space="preserve"> </w:t>
      </w:r>
      <w:r w:rsidRPr="0038282D">
        <w:rPr>
          <w:sz w:val="28"/>
          <w:szCs w:val="28"/>
        </w:rPr>
        <w:t>предоставляют юридические лица независимо от вида их экономической деятельности, формы собственности и организационно-правовой формы, кроме:</w:t>
      </w:r>
    </w:p>
    <w:p w14:paraId="02F51AFD" w14:textId="3F9FF39B" w:rsidR="00FA4F50" w:rsidRPr="0038282D" w:rsidRDefault="00FA4F50" w:rsidP="003E09BA">
      <w:pPr>
        <w:ind w:left="-15" w:right="-2" w:firstLine="724"/>
        <w:jc w:val="both"/>
        <w:rPr>
          <w:sz w:val="28"/>
          <w:szCs w:val="28"/>
        </w:rPr>
      </w:pPr>
      <w:r w:rsidRPr="0038282D">
        <w:rPr>
          <w:sz w:val="28"/>
          <w:szCs w:val="28"/>
        </w:rPr>
        <w:t>– некоммерческих организаций;</w:t>
      </w:r>
    </w:p>
    <w:p w14:paraId="1018FE28" w14:textId="76514A10" w:rsidR="00FA4F50" w:rsidRPr="0038282D" w:rsidRDefault="00FA4F50" w:rsidP="003E09BA">
      <w:pPr>
        <w:ind w:left="-15" w:right="-2" w:firstLine="724"/>
        <w:jc w:val="both"/>
        <w:rPr>
          <w:sz w:val="28"/>
          <w:szCs w:val="28"/>
        </w:rPr>
      </w:pPr>
      <w:r w:rsidRPr="0038282D">
        <w:rPr>
          <w:sz w:val="28"/>
          <w:szCs w:val="28"/>
        </w:rPr>
        <w:t xml:space="preserve">– субъектов малого предпринимательства </w:t>
      </w:r>
      <w:bookmarkStart w:id="0" w:name="_GoBack"/>
      <w:bookmarkEnd w:id="0"/>
      <w:r w:rsidRPr="0038282D">
        <w:rPr>
          <w:sz w:val="28"/>
          <w:szCs w:val="28"/>
        </w:rPr>
        <w:t>(в том числе относящихся к ним организаций потребительской кооперации).</w:t>
      </w:r>
    </w:p>
    <w:p w14:paraId="29DAF863" w14:textId="77777777" w:rsidR="00FA4F50" w:rsidRPr="0038282D" w:rsidRDefault="00FA4F50" w:rsidP="003E09BA">
      <w:pPr>
        <w:ind w:left="-15" w:right="-2" w:firstLine="724"/>
        <w:jc w:val="both"/>
        <w:rPr>
          <w:sz w:val="28"/>
          <w:szCs w:val="28"/>
        </w:rPr>
      </w:pPr>
      <w:r w:rsidRPr="0038282D">
        <w:rPr>
          <w:sz w:val="28"/>
          <w:szCs w:val="28"/>
        </w:rPr>
        <w:t xml:space="preserve">Данные по форме № 11 предоставляют организации потребительской кооперации, не относящиеся к субъектам малого предпринимательства,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w:t>
      </w:r>
    </w:p>
    <w:p w14:paraId="5077ACC1" w14:textId="77777777" w:rsidR="00FA4F50" w:rsidRPr="0038282D" w:rsidRDefault="00FA4F50" w:rsidP="003E09BA">
      <w:pPr>
        <w:ind w:left="-15" w:right="-2" w:firstLine="724"/>
        <w:jc w:val="both"/>
        <w:rPr>
          <w:sz w:val="28"/>
          <w:szCs w:val="28"/>
        </w:rPr>
      </w:pPr>
      <w:r w:rsidRPr="0038282D">
        <w:rPr>
          <w:sz w:val="28"/>
          <w:szCs w:val="28"/>
        </w:rPr>
        <w:t xml:space="preserve">Основные фонды и другие нефинансовые активы, закрепленные </w:t>
      </w:r>
      <w:r w:rsidRPr="0038282D">
        <w:rPr>
          <w:sz w:val="28"/>
          <w:szCs w:val="28"/>
        </w:rPr>
        <w:br/>
        <w:t>за унитарными предприятиями на праве хозяйственного ведения</w:t>
      </w:r>
      <w:r w:rsidRPr="0038282D">
        <w:rPr>
          <w:sz w:val="28"/>
          <w:szCs w:val="28"/>
        </w:rPr>
        <w:br/>
        <w:t xml:space="preserve">и за казенными предприятиями на праве оперативного управления, должны отражаться вышеуказанными предприятиями в данных по </w:t>
      </w:r>
      <w:hyperlink r:id="rId7" w:tooltip="consultantplus://offline/ref=C36C5DA36ED9DD2D780DF4B85C12CFBCA59C0710B368F9E4375E89965BD6BF85CA1095881BE9D251O1R1H" w:history="1">
        <w:r w:rsidRPr="0038282D">
          <w:rPr>
            <w:rStyle w:val="aa"/>
            <w:color w:val="auto"/>
            <w:sz w:val="28"/>
            <w:szCs w:val="28"/>
            <w:u w:val="none"/>
          </w:rPr>
          <w:t>форме</w:t>
        </w:r>
        <w:r w:rsidRPr="0038282D">
          <w:rPr>
            <w:rStyle w:val="aa"/>
            <w:color w:val="auto"/>
            <w:sz w:val="28"/>
            <w:szCs w:val="28"/>
          </w:rPr>
          <w:t xml:space="preserve"> </w:t>
        </w:r>
      </w:hyperlink>
      <w:r w:rsidRPr="0038282D">
        <w:rPr>
          <w:sz w:val="28"/>
          <w:szCs w:val="28"/>
        </w:rPr>
        <w:br/>
        <w:t>в обычном порядке.</w:t>
      </w:r>
    </w:p>
    <w:p w14:paraId="4CD42215" w14:textId="59E67774" w:rsidR="008F09E4" w:rsidRPr="0038282D" w:rsidRDefault="008F09E4" w:rsidP="008F09E4">
      <w:pPr>
        <w:ind w:left="-15" w:right="-2" w:firstLine="724"/>
        <w:jc w:val="both"/>
        <w:rPr>
          <w:sz w:val="28"/>
          <w:szCs w:val="28"/>
        </w:rPr>
      </w:pPr>
      <w:r w:rsidRPr="0038282D">
        <w:rPr>
          <w:sz w:val="28"/>
          <w:szCs w:val="28"/>
        </w:rPr>
        <w:t>Форма № 11 заполняется в соответствии с Указаниями по заполнению формы федерального статистического наблюдения № 11 «Сведения о наличии и движении основных фондов (средств) и других нефинансовых активов»</w:t>
      </w:r>
      <w:r w:rsidR="008F36E5" w:rsidRPr="0038282D">
        <w:rPr>
          <w:sz w:val="28"/>
          <w:szCs w:val="28"/>
        </w:rPr>
        <w:t>, утвержденными приказом Росстата от 05.12.2023 № 622</w:t>
      </w:r>
      <w:r w:rsidRPr="0038282D">
        <w:rPr>
          <w:sz w:val="28"/>
          <w:szCs w:val="28"/>
        </w:rPr>
        <w:t xml:space="preserve"> (далее – Указания).</w:t>
      </w:r>
    </w:p>
    <w:p w14:paraId="26DAF502" w14:textId="15727DB1" w:rsidR="0096345F" w:rsidRDefault="0096345F" w:rsidP="003E09BA">
      <w:pPr>
        <w:ind w:firstLine="709"/>
        <w:jc w:val="both"/>
        <w:rPr>
          <w:sz w:val="28"/>
          <w:szCs w:val="28"/>
        </w:rPr>
      </w:pPr>
      <w:r w:rsidRPr="0038282D">
        <w:rPr>
          <w:sz w:val="28"/>
          <w:szCs w:val="28"/>
        </w:rPr>
        <w:t>Бланк формы</w:t>
      </w:r>
      <w:r w:rsidR="008F09E4" w:rsidRPr="0038282D">
        <w:rPr>
          <w:sz w:val="28"/>
          <w:szCs w:val="28"/>
        </w:rPr>
        <w:t xml:space="preserve"> № 11</w:t>
      </w:r>
      <w:r w:rsidRPr="0038282D">
        <w:rPr>
          <w:sz w:val="28"/>
          <w:szCs w:val="28"/>
        </w:rPr>
        <w:t xml:space="preserve"> и </w:t>
      </w:r>
      <w:r w:rsidR="003E09BA" w:rsidRPr="0038282D">
        <w:rPr>
          <w:sz w:val="28"/>
          <w:szCs w:val="28"/>
        </w:rPr>
        <w:t>У</w:t>
      </w:r>
      <w:r w:rsidRPr="0038282D">
        <w:rPr>
          <w:sz w:val="28"/>
          <w:szCs w:val="28"/>
        </w:rPr>
        <w:t>казания по ее заполнению размещены на официальном сайте Росстата (</w:t>
      </w:r>
      <w:hyperlink r:id="rId8" w:history="1">
        <w:r w:rsidR="00376875" w:rsidRPr="00E60C4C">
          <w:rPr>
            <w:rStyle w:val="aa"/>
            <w:color w:val="auto"/>
            <w:sz w:val="28"/>
            <w:szCs w:val="28"/>
            <w:u w:val="none"/>
          </w:rPr>
          <w:t>https://rosstat.gov.ru</w:t>
        </w:r>
      </w:hyperlink>
      <w:r w:rsidRPr="0038282D">
        <w:rPr>
          <w:sz w:val="28"/>
          <w:szCs w:val="28"/>
        </w:rPr>
        <w:t xml:space="preserve">) в разделе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 </w:t>
      </w:r>
    </w:p>
    <w:p w14:paraId="5A3B9575" w14:textId="58AC00DC" w:rsidR="00E60C4C" w:rsidRPr="00123938" w:rsidRDefault="001404E4" w:rsidP="001404E4">
      <w:pPr>
        <w:ind w:left="-15" w:right="-2" w:firstLine="724"/>
        <w:jc w:val="both"/>
        <w:rPr>
          <w:sz w:val="28"/>
          <w:szCs w:val="28"/>
        </w:rPr>
      </w:pPr>
      <w:r w:rsidRPr="00123938">
        <w:rPr>
          <w:sz w:val="28"/>
          <w:szCs w:val="28"/>
        </w:rPr>
        <w:t xml:space="preserve">Обращаем Ваше внимание, что согласно приказу Росстата от 11.01.2024 № 3 </w:t>
      </w:r>
      <w:r w:rsidR="00E60C4C" w:rsidRPr="00123938">
        <w:rPr>
          <w:sz w:val="28"/>
          <w:szCs w:val="28"/>
        </w:rPr>
        <w:t xml:space="preserve">     </w:t>
      </w:r>
      <w:proofErr w:type="gramStart"/>
      <w:r w:rsidR="00E60C4C" w:rsidRPr="00123938">
        <w:rPr>
          <w:sz w:val="28"/>
          <w:szCs w:val="28"/>
        </w:rPr>
        <w:t xml:space="preserve">   </w:t>
      </w:r>
      <w:r w:rsidRPr="00123938">
        <w:rPr>
          <w:sz w:val="28"/>
          <w:szCs w:val="28"/>
        </w:rPr>
        <w:t>«</w:t>
      </w:r>
      <w:proofErr w:type="gramEnd"/>
      <w:r w:rsidRPr="00123938">
        <w:rPr>
          <w:sz w:val="28"/>
          <w:szCs w:val="28"/>
        </w:rPr>
        <w:t>О внесении изменений в отдельные указания по заполнению форм федерального статист</w:t>
      </w:r>
      <w:r w:rsidR="00B02C91">
        <w:rPr>
          <w:sz w:val="28"/>
          <w:szCs w:val="28"/>
        </w:rPr>
        <w:t xml:space="preserve">ического наблюдения» </w:t>
      </w:r>
      <w:r w:rsidRPr="00123938">
        <w:rPr>
          <w:sz w:val="28"/>
          <w:szCs w:val="28"/>
        </w:rPr>
        <w:t xml:space="preserve">юридическими лицами, зарегистрированными на территории Донецкой Народной Республики, </w:t>
      </w:r>
      <w:r w:rsidRPr="00123938">
        <w:rPr>
          <w:sz w:val="28"/>
          <w:szCs w:val="28"/>
          <w:u w:val="single"/>
        </w:rPr>
        <w:t>данные по вышеуказанной форме предоставляются при наличии наблюдаемого явления</w:t>
      </w:r>
      <w:r w:rsidRPr="00123938">
        <w:rPr>
          <w:sz w:val="28"/>
          <w:szCs w:val="28"/>
        </w:rPr>
        <w:t xml:space="preserve">.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 </w:t>
      </w:r>
    </w:p>
    <w:p w14:paraId="2EAB6E6B" w14:textId="3D28EE5A" w:rsidR="001404E4" w:rsidRPr="00123938" w:rsidRDefault="001404E4" w:rsidP="001404E4">
      <w:pPr>
        <w:ind w:left="-15" w:right="-2" w:firstLine="724"/>
        <w:jc w:val="both"/>
        <w:rPr>
          <w:sz w:val="28"/>
          <w:szCs w:val="28"/>
        </w:rPr>
      </w:pPr>
      <w:r w:rsidRPr="00123938">
        <w:rPr>
          <w:sz w:val="28"/>
          <w:szCs w:val="28"/>
        </w:rPr>
        <w:t xml:space="preserve">Просим Вас, в таких случаях </w:t>
      </w:r>
      <w:r w:rsidR="00E823C8" w:rsidRPr="00123938">
        <w:rPr>
          <w:sz w:val="28"/>
          <w:szCs w:val="28"/>
          <w:u w:val="single"/>
        </w:rPr>
        <w:t>направи</w:t>
      </w:r>
      <w:r w:rsidRPr="00123938">
        <w:rPr>
          <w:sz w:val="28"/>
          <w:szCs w:val="28"/>
          <w:u w:val="single"/>
        </w:rPr>
        <w:t xml:space="preserve">ть </w:t>
      </w:r>
      <w:r w:rsidR="000B1566" w:rsidRPr="00123938">
        <w:rPr>
          <w:sz w:val="28"/>
          <w:szCs w:val="28"/>
          <w:u w:val="single"/>
        </w:rPr>
        <w:t xml:space="preserve">в структурное подразделение Донецкстата по месту нахождения или непосредственно в Донецкстат </w:t>
      </w:r>
      <w:r w:rsidR="00871BB9" w:rsidRPr="00123938">
        <w:rPr>
          <w:sz w:val="28"/>
          <w:szCs w:val="28"/>
          <w:u w:val="single"/>
        </w:rPr>
        <w:t>письмо</w:t>
      </w:r>
      <w:r w:rsidRPr="00123938">
        <w:rPr>
          <w:sz w:val="28"/>
          <w:szCs w:val="28"/>
          <w:u w:val="single"/>
        </w:rPr>
        <w:t xml:space="preserve"> о том, что наблюдаемое </w:t>
      </w:r>
      <w:r w:rsidR="00E60C4C" w:rsidRPr="00123938">
        <w:rPr>
          <w:sz w:val="28"/>
          <w:szCs w:val="28"/>
          <w:u w:val="single"/>
        </w:rPr>
        <w:t>явление отсутствует</w:t>
      </w:r>
      <w:r w:rsidRPr="00123938">
        <w:rPr>
          <w:sz w:val="28"/>
          <w:szCs w:val="28"/>
        </w:rPr>
        <w:t>.</w:t>
      </w:r>
    </w:p>
    <w:p w14:paraId="2B446DF0" w14:textId="77777777" w:rsidR="009D5E4D" w:rsidRDefault="009D5E4D" w:rsidP="003E09BA">
      <w:pPr>
        <w:ind w:firstLine="709"/>
        <w:jc w:val="both"/>
        <w:rPr>
          <w:sz w:val="28"/>
          <w:szCs w:val="28"/>
        </w:rPr>
      </w:pPr>
    </w:p>
    <w:p w14:paraId="7B3A6574" w14:textId="77777777" w:rsidR="009D5E4D" w:rsidRDefault="009D5E4D" w:rsidP="003E09BA">
      <w:pPr>
        <w:ind w:firstLine="709"/>
        <w:jc w:val="both"/>
        <w:rPr>
          <w:sz w:val="28"/>
          <w:szCs w:val="28"/>
        </w:rPr>
      </w:pPr>
    </w:p>
    <w:p w14:paraId="0E06FA34" w14:textId="55372B9D" w:rsidR="00BE7250" w:rsidRDefault="00BE7250" w:rsidP="009D5E4D">
      <w:pPr>
        <w:ind w:firstLine="709"/>
        <w:jc w:val="both"/>
        <w:rPr>
          <w:sz w:val="28"/>
          <w:szCs w:val="28"/>
        </w:rPr>
      </w:pPr>
      <w:r w:rsidRPr="00BE7250">
        <w:rPr>
          <w:sz w:val="28"/>
          <w:szCs w:val="28"/>
        </w:rPr>
        <w:lastRenderedPageBreak/>
        <w:t>Форма федерального статистического наблюдения может быть пред</w:t>
      </w:r>
      <w:r>
        <w:rPr>
          <w:sz w:val="28"/>
          <w:szCs w:val="28"/>
        </w:rPr>
        <w:t>ставлена</w:t>
      </w:r>
      <w:r w:rsidRPr="00BE7250">
        <w:rPr>
          <w:sz w:val="28"/>
          <w:szCs w:val="28"/>
        </w:rPr>
        <w:t>:</w:t>
      </w:r>
    </w:p>
    <w:p w14:paraId="1C7BD791" w14:textId="3CB95922" w:rsidR="00376875" w:rsidRPr="0038282D" w:rsidRDefault="00376875" w:rsidP="003E09BA">
      <w:pPr>
        <w:ind w:firstLine="709"/>
        <w:jc w:val="both"/>
        <w:rPr>
          <w:sz w:val="28"/>
          <w:szCs w:val="28"/>
        </w:rPr>
      </w:pPr>
      <w:r w:rsidRPr="0038282D">
        <w:rPr>
          <w:sz w:val="28"/>
          <w:szCs w:val="28"/>
        </w:rPr>
        <w:t xml:space="preserve">– </w:t>
      </w:r>
      <w:r w:rsidRPr="0038282D">
        <w:rPr>
          <w:i/>
          <w:sz w:val="28"/>
          <w:szCs w:val="28"/>
        </w:rPr>
        <w:t>в электронном виде</w:t>
      </w:r>
      <w:r w:rsidRPr="0038282D">
        <w:rPr>
          <w:sz w:val="28"/>
          <w:szCs w:val="28"/>
        </w:rPr>
        <w:t xml:space="preserve">: через операторов электронного документооборота (специализированный оператор связи) или через систему </w:t>
      </w:r>
      <w:r w:rsidRPr="0038282D">
        <w:rPr>
          <w:sz w:val="28"/>
          <w:szCs w:val="28"/>
          <w:lang w:val="en-US"/>
        </w:rPr>
        <w:t>web</w:t>
      </w:r>
      <w:r w:rsidRPr="0038282D">
        <w:rPr>
          <w:sz w:val="28"/>
          <w:szCs w:val="28"/>
        </w:rPr>
        <w:t>-сбора Росстата (</w:t>
      </w:r>
      <w:r w:rsidR="00F255D3" w:rsidRPr="000072FC">
        <w:rPr>
          <w:rStyle w:val="aa"/>
          <w:color w:val="auto"/>
          <w:sz w:val="28"/>
          <w:szCs w:val="28"/>
          <w:u w:val="none"/>
          <w:lang w:val="en-US"/>
        </w:rPr>
        <w:t>https</w:t>
      </w:r>
      <w:r w:rsidR="00F255D3" w:rsidRPr="000072FC">
        <w:rPr>
          <w:rStyle w:val="aa"/>
          <w:color w:val="auto"/>
          <w:sz w:val="28"/>
          <w:szCs w:val="28"/>
          <w:u w:val="none"/>
        </w:rPr>
        <w:t>://</w:t>
      </w:r>
      <w:proofErr w:type="spellStart"/>
      <w:r w:rsidR="00F255D3" w:rsidRPr="000072FC">
        <w:rPr>
          <w:rStyle w:val="aa"/>
          <w:color w:val="auto"/>
          <w:sz w:val="28"/>
          <w:szCs w:val="28"/>
          <w:u w:val="none"/>
          <w:lang w:val="en-US"/>
        </w:rPr>
        <w:t>websbor</w:t>
      </w:r>
      <w:proofErr w:type="spellEnd"/>
      <w:r w:rsidR="00F255D3" w:rsidRPr="000072FC">
        <w:rPr>
          <w:rStyle w:val="aa"/>
          <w:color w:val="auto"/>
          <w:sz w:val="28"/>
          <w:szCs w:val="28"/>
          <w:u w:val="none"/>
        </w:rPr>
        <w:t>.</w:t>
      </w:r>
      <w:proofErr w:type="spellStart"/>
      <w:r w:rsidR="00F255D3" w:rsidRPr="000072FC">
        <w:rPr>
          <w:rStyle w:val="aa"/>
          <w:color w:val="auto"/>
          <w:sz w:val="28"/>
          <w:szCs w:val="28"/>
          <w:u w:val="none"/>
          <w:lang w:val="en-US"/>
        </w:rPr>
        <w:t>rosstat</w:t>
      </w:r>
      <w:proofErr w:type="spellEnd"/>
      <w:r w:rsidR="00F255D3" w:rsidRPr="000072FC">
        <w:rPr>
          <w:rStyle w:val="aa"/>
          <w:color w:val="auto"/>
          <w:sz w:val="28"/>
          <w:szCs w:val="28"/>
          <w:u w:val="none"/>
        </w:rPr>
        <w:t>.</w:t>
      </w:r>
      <w:proofErr w:type="spellStart"/>
      <w:r w:rsidR="00F255D3" w:rsidRPr="000072FC">
        <w:rPr>
          <w:rStyle w:val="aa"/>
          <w:color w:val="auto"/>
          <w:sz w:val="28"/>
          <w:szCs w:val="28"/>
          <w:u w:val="none"/>
          <w:lang w:val="en-US"/>
        </w:rPr>
        <w:t>gov</w:t>
      </w:r>
      <w:proofErr w:type="spellEnd"/>
      <w:r w:rsidR="00F255D3" w:rsidRPr="000072FC">
        <w:rPr>
          <w:rStyle w:val="aa"/>
          <w:color w:val="auto"/>
          <w:sz w:val="28"/>
          <w:szCs w:val="28"/>
          <w:u w:val="none"/>
        </w:rPr>
        <w:t>.</w:t>
      </w:r>
      <w:proofErr w:type="spellStart"/>
      <w:r w:rsidR="00F255D3" w:rsidRPr="000072FC">
        <w:rPr>
          <w:rStyle w:val="aa"/>
          <w:color w:val="auto"/>
          <w:sz w:val="28"/>
          <w:szCs w:val="28"/>
          <w:u w:val="none"/>
          <w:lang w:val="en-US"/>
        </w:rPr>
        <w:t>ru</w:t>
      </w:r>
      <w:proofErr w:type="spellEnd"/>
      <w:r w:rsidR="00F255D3" w:rsidRPr="000072FC">
        <w:rPr>
          <w:rStyle w:val="aa"/>
          <w:color w:val="auto"/>
          <w:sz w:val="28"/>
          <w:szCs w:val="28"/>
          <w:u w:val="none"/>
        </w:rPr>
        <w:t>/</w:t>
      </w:r>
      <w:r w:rsidR="00F255D3" w:rsidRPr="000072FC">
        <w:rPr>
          <w:rStyle w:val="aa"/>
          <w:color w:val="auto"/>
          <w:sz w:val="28"/>
          <w:szCs w:val="28"/>
          <w:u w:val="none"/>
          <w:lang w:val="en-US"/>
        </w:rPr>
        <w:t>online</w:t>
      </w:r>
      <w:r w:rsidRPr="0038282D">
        <w:rPr>
          <w:sz w:val="28"/>
          <w:szCs w:val="28"/>
        </w:rPr>
        <w:t>);</w:t>
      </w:r>
    </w:p>
    <w:p w14:paraId="4D5E8049" w14:textId="06FF20E2" w:rsidR="00BE7250" w:rsidRPr="00BE7250" w:rsidRDefault="00376875" w:rsidP="00BE7250">
      <w:pPr>
        <w:ind w:firstLine="709"/>
        <w:jc w:val="both"/>
        <w:rPr>
          <w:i/>
          <w:sz w:val="28"/>
          <w:szCs w:val="28"/>
        </w:rPr>
      </w:pPr>
      <w:r w:rsidRPr="0038282D">
        <w:rPr>
          <w:sz w:val="28"/>
          <w:szCs w:val="28"/>
        </w:rPr>
        <w:t xml:space="preserve">– </w:t>
      </w:r>
      <w:r w:rsidR="00BE7250" w:rsidRPr="00BE7250">
        <w:rPr>
          <w:i/>
          <w:sz w:val="28"/>
          <w:szCs w:val="28"/>
        </w:rPr>
        <w:t xml:space="preserve">на бумажном носителе, подписанная должностным лицом, ответственным за предоставление первичных статистических данных (лицо, уполномоченное предоставлять первичные статистические данные от имени юридического лица): </w:t>
      </w:r>
      <w:r w:rsidR="00BE7250" w:rsidRPr="00BE7250">
        <w:rPr>
          <w:sz w:val="28"/>
          <w:szCs w:val="28"/>
        </w:rPr>
        <w:t>в структурное подразделение Донецкстата по месту нахождения или непосредственно в Донецкстат</w:t>
      </w:r>
      <w:r w:rsidR="00BE7250" w:rsidRPr="00BE7250">
        <w:rPr>
          <w:i/>
          <w:sz w:val="28"/>
          <w:szCs w:val="28"/>
        </w:rPr>
        <w:t>.</w:t>
      </w:r>
    </w:p>
    <w:p w14:paraId="1ACC43BC" w14:textId="26EC2BF1" w:rsidR="00376875" w:rsidRPr="0038282D" w:rsidRDefault="00376875" w:rsidP="003E09BA">
      <w:pPr>
        <w:ind w:firstLine="709"/>
        <w:jc w:val="both"/>
        <w:rPr>
          <w:sz w:val="28"/>
          <w:szCs w:val="28"/>
        </w:rPr>
      </w:pPr>
    </w:p>
    <w:p w14:paraId="57F4D0DE" w14:textId="77777777" w:rsidR="00D911C1" w:rsidRPr="0038282D" w:rsidRDefault="00D911C1" w:rsidP="00D911C1">
      <w:pPr>
        <w:ind w:left="-15" w:right="-2" w:firstLine="724"/>
        <w:jc w:val="both"/>
        <w:rPr>
          <w:b/>
          <w:i/>
          <w:sz w:val="28"/>
          <w:szCs w:val="28"/>
          <w:u w:val="single"/>
        </w:rPr>
      </w:pPr>
      <w:r w:rsidRPr="0038282D">
        <w:rPr>
          <w:b/>
          <w:i/>
          <w:sz w:val="28"/>
          <w:szCs w:val="28"/>
          <w:u w:val="single"/>
        </w:rPr>
        <w:t>Сроки предоставления указанной формы с 15 февраля по 1 апреля 2024 года.</w:t>
      </w:r>
    </w:p>
    <w:p w14:paraId="01131E81" w14:textId="77777777" w:rsidR="00C95F50" w:rsidRPr="0038282D" w:rsidRDefault="00C95F50" w:rsidP="003E09BA">
      <w:pPr>
        <w:ind w:firstLine="709"/>
        <w:jc w:val="both"/>
        <w:rPr>
          <w:rFonts w:eastAsia="Calibri"/>
          <w:b/>
          <w:sz w:val="28"/>
          <w:szCs w:val="28"/>
        </w:rPr>
      </w:pPr>
    </w:p>
    <w:p w14:paraId="23304B5C" w14:textId="77777777" w:rsidR="003560FA" w:rsidRPr="0038282D" w:rsidRDefault="003560FA" w:rsidP="003560FA">
      <w:pPr>
        <w:ind w:firstLine="709"/>
        <w:jc w:val="both"/>
        <w:rPr>
          <w:sz w:val="28"/>
          <w:szCs w:val="28"/>
        </w:rPr>
      </w:pPr>
      <w:r w:rsidRPr="0038282D">
        <w:rPr>
          <w:sz w:val="28"/>
          <w:szCs w:val="28"/>
        </w:rPr>
        <w:t xml:space="preserve">Данные приводятся в тех единицах измерения, которые указаны </w:t>
      </w:r>
      <w:r w:rsidRPr="0038282D">
        <w:rPr>
          <w:sz w:val="28"/>
          <w:szCs w:val="28"/>
        </w:rPr>
        <w:br/>
        <w:t>в форме, в целых числах.</w:t>
      </w:r>
    </w:p>
    <w:p w14:paraId="157E3CA0" w14:textId="77777777" w:rsidR="0019228E" w:rsidRPr="0038282D" w:rsidRDefault="0019228E" w:rsidP="003E09BA">
      <w:pPr>
        <w:ind w:firstLine="709"/>
        <w:jc w:val="both"/>
        <w:rPr>
          <w:sz w:val="28"/>
          <w:szCs w:val="28"/>
        </w:rPr>
      </w:pPr>
      <w:r w:rsidRPr="0038282D">
        <w:rPr>
          <w:sz w:val="28"/>
          <w:szCs w:val="28"/>
        </w:rPr>
        <w:t>При создании организации в течение года организация предоставляет форму с данными за период своего существования в отчетном году.</w:t>
      </w:r>
    </w:p>
    <w:p w14:paraId="12B9A559" w14:textId="77777777" w:rsidR="00D911C1" w:rsidRPr="0038282D" w:rsidRDefault="00D911C1" w:rsidP="00D911C1">
      <w:pPr>
        <w:suppressAutoHyphens/>
        <w:ind w:firstLine="709"/>
        <w:jc w:val="both"/>
        <w:rPr>
          <w:sz w:val="28"/>
          <w:szCs w:val="28"/>
        </w:rPr>
      </w:pPr>
      <w:r w:rsidRPr="005E391D">
        <w:rPr>
          <w:sz w:val="28"/>
          <w:szCs w:val="28"/>
          <w:u w:val="single"/>
        </w:rPr>
        <w:t>В случае отсутствия наблюдаемого явления</w:t>
      </w:r>
      <w:r w:rsidRPr="0038282D">
        <w:rPr>
          <w:sz w:val="28"/>
          <w:szCs w:val="28"/>
        </w:rPr>
        <w:t xml:space="preserve"> за отчетный год респондентом направляется подписанный в установленном порядке отчет </w:t>
      </w:r>
      <w:r w:rsidRPr="0038282D">
        <w:rPr>
          <w:sz w:val="28"/>
          <w:szCs w:val="28"/>
        </w:rPr>
        <w:br/>
        <w:t xml:space="preserve">по форме с заполненным титульным разделом формы, а также значениями </w:t>
      </w:r>
      <w:r w:rsidRPr="0038282D">
        <w:rPr>
          <w:sz w:val="28"/>
          <w:szCs w:val="28"/>
        </w:rPr>
        <w:br/>
        <w:t xml:space="preserve">по обязательным строкам (раздел IV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I строка 02, 04, 06, 07, 08, 10 – 13 графа 14), не должно указываться никаких значений данных, в том числе нулевых и прочерков. </w:t>
      </w:r>
    </w:p>
    <w:p w14:paraId="4DC82956" w14:textId="1C2A210F" w:rsidR="00B62996" w:rsidRDefault="001F0897" w:rsidP="00B62996">
      <w:pPr>
        <w:suppressAutoHyphens/>
        <w:ind w:firstLine="709"/>
        <w:jc w:val="both"/>
        <w:rPr>
          <w:sz w:val="28"/>
          <w:szCs w:val="28"/>
        </w:rPr>
      </w:pPr>
      <w:r w:rsidRPr="0038282D">
        <w:rPr>
          <w:sz w:val="28"/>
          <w:szCs w:val="28"/>
        </w:rPr>
        <w:t xml:space="preserve">При наличии у юридического лица обособленных подразделений, </w:t>
      </w:r>
      <w:r w:rsidR="003560FA" w:rsidRPr="0038282D">
        <w:rPr>
          <w:sz w:val="28"/>
          <w:szCs w:val="28"/>
        </w:rPr>
        <w:t xml:space="preserve">которые находятся в том же субъекте Российской Федерации, что и юридическое лицо, данные учитываются в разделах формы с </w:t>
      </w:r>
      <w:r w:rsidR="003560FA" w:rsidRPr="0038282D">
        <w:rPr>
          <w:sz w:val="28"/>
          <w:szCs w:val="28"/>
          <w:lang w:val="en-US"/>
        </w:rPr>
        <w:t>I</w:t>
      </w:r>
      <w:r w:rsidR="003560FA" w:rsidRPr="0038282D">
        <w:rPr>
          <w:sz w:val="28"/>
          <w:szCs w:val="28"/>
        </w:rPr>
        <w:t xml:space="preserve"> по </w:t>
      </w:r>
      <w:r w:rsidR="003560FA" w:rsidRPr="0038282D">
        <w:rPr>
          <w:sz w:val="28"/>
          <w:szCs w:val="28"/>
          <w:lang w:val="en-US"/>
        </w:rPr>
        <w:t>III</w:t>
      </w:r>
      <w:r w:rsidR="003560FA" w:rsidRPr="0038282D">
        <w:rPr>
          <w:sz w:val="28"/>
          <w:szCs w:val="28"/>
        </w:rPr>
        <w:t xml:space="preserve"> вместе с данными по головному подразделению</w:t>
      </w:r>
      <w:r w:rsidR="002215D6" w:rsidRPr="0038282D">
        <w:rPr>
          <w:sz w:val="28"/>
          <w:szCs w:val="28"/>
        </w:rPr>
        <w:t>.</w:t>
      </w:r>
      <w:r w:rsidR="00B62996" w:rsidRPr="0038282D">
        <w:rPr>
          <w:sz w:val="28"/>
          <w:szCs w:val="28"/>
        </w:rPr>
        <w:t xml:space="preserve"> При этом в разделе </w:t>
      </w:r>
      <w:r w:rsidR="00B62996" w:rsidRPr="0038282D">
        <w:rPr>
          <w:sz w:val="28"/>
          <w:szCs w:val="28"/>
          <w:lang w:val="en-US"/>
        </w:rPr>
        <w:t>IV</w:t>
      </w:r>
      <w:r w:rsidR="00B62996" w:rsidRPr="0038282D">
        <w:rPr>
          <w:sz w:val="28"/>
          <w:szCs w:val="28"/>
        </w:rPr>
        <w:t xml:space="preserve"> формы приводится распределение данных 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42 проставляется «0».</w:t>
      </w:r>
    </w:p>
    <w:p w14:paraId="3B08E884" w14:textId="395AB25E" w:rsidR="005E391D" w:rsidRPr="005E391D" w:rsidRDefault="005E391D" w:rsidP="005E391D">
      <w:pPr>
        <w:suppressAutoHyphens/>
        <w:ind w:firstLine="709"/>
        <w:jc w:val="both"/>
        <w:rPr>
          <w:sz w:val="28"/>
          <w:szCs w:val="28"/>
        </w:rPr>
      </w:pPr>
      <w:r w:rsidRPr="005E391D">
        <w:rPr>
          <w:sz w:val="28"/>
          <w:szCs w:val="28"/>
        </w:rPr>
        <w:t>При наличии у юридического лица обособленных подразделений, находящихся в субъекте Российской Федерации, отличном от месторасположения юридического лица, данные по форме представляются как по каждому такому обособленному подразделению или в виде сводных данных по всем обособленным подразделениям, так и юридическому лицу без этих обособленных подразделений.</w:t>
      </w:r>
    </w:p>
    <w:p w14:paraId="5FCCF34E" w14:textId="77777777" w:rsidR="005E391D" w:rsidRPr="005E391D" w:rsidRDefault="005E391D" w:rsidP="005E391D">
      <w:pPr>
        <w:suppressAutoHyphens/>
        <w:ind w:firstLine="709"/>
        <w:jc w:val="both"/>
        <w:rPr>
          <w:sz w:val="28"/>
          <w:szCs w:val="28"/>
        </w:rPr>
      </w:pPr>
      <w:r w:rsidRPr="005E391D">
        <w:rPr>
          <w:sz w:val="28"/>
          <w:szCs w:val="28"/>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14:paraId="04E648A4" w14:textId="77777777" w:rsidR="003560FA" w:rsidRPr="0038282D" w:rsidRDefault="003560FA" w:rsidP="003560FA">
      <w:pPr>
        <w:widowControl w:val="0"/>
        <w:ind w:firstLine="709"/>
        <w:jc w:val="both"/>
        <w:rPr>
          <w:sz w:val="28"/>
          <w:szCs w:val="28"/>
        </w:rPr>
      </w:pPr>
      <w:r w:rsidRPr="0038282D">
        <w:rPr>
          <w:sz w:val="28"/>
          <w:szCs w:val="28"/>
        </w:rPr>
        <w:lastRenderedPageBreak/>
        <w:t>Для целей заполнения настоящей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
    <w:p w14:paraId="117D5F06" w14:textId="581D6A1F" w:rsidR="003560FA" w:rsidRPr="0038282D" w:rsidRDefault="003560FA" w:rsidP="003560FA">
      <w:pPr>
        <w:widowControl w:val="0"/>
        <w:ind w:firstLine="709"/>
        <w:jc w:val="both"/>
        <w:rPr>
          <w:sz w:val="28"/>
          <w:szCs w:val="28"/>
        </w:rPr>
      </w:pPr>
      <w:r w:rsidRPr="0038282D">
        <w:rPr>
          <w:sz w:val="28"/>
          <w:szCs w:val="28"/>
        </w:rPr>
        <w:t xml:space="preserve">Состав активов, относящихся к основным фондам и отражаемых </w:t>
      </w:r>
      <w:r w:rsidRPr="0038282D">
        <w:rPr>
          <w:sz w:val="28"/>
          <w:szCs w:val="28"/>
        </w:rPr>
        <w:br/>
        <w:t xml:space="preserve">в форме № 11, соответствует Общероссийскому классификатору основных фондов ОК 013-2014, введенному в действие с 1 января 2017 г. приказом Росстандарта </w:t>
      </w:r>
      <w:r w:rsidR="00F86528" w:rsidRPr="0038282D">
        <w:rPr>
          <w:sz w:val="28"/>
          <w:szCs w:val="28"/>
        </w:rPr>
        <w:br/>
      </w:r>
      <w:r w:rsidRPr="0038282D">
        <w:rPr>
          <w:sz w:val="28"/>
          <w:szCs w:val="28"/>
        </w:rPr>
        <w:t>от 12 декабря 2014 г. № 2018-ст (далее – ОКОФ).</w:t>
      </w:r>
    </w:p>
    <w:p w14:paraId="784E40A8" w14:textId="77AB6247" w:rsidR="00732DA3" w:rsidRPr="0038282D" w:rsidRDefault="00732DA3" w:rsidP="003E09BA">
      <w:pPr>
        <w:widowControl w:val="0"/>
        <w:ind w:firstLine="709"/>
        <w:jc w:val="both"/>
        <w:rPr>
          <w:sz w:val="28"/>
          <w:szCs w:val="28"/>
        </w:rPr>
      </w:pPr>
    </w:p>
    <w:p w14:paraId="670A27CE" w14:textId="77777777" w:rsidR="00675075" w:rsidRPr="0038282D" w:rsidRDefault="00675075" w:rsidP="00675075">
      <w:pPr>
        <w:widowControl w:val="0"/>
        <w:ind w:firstLine="709"/>
        <w:jc w:val="both"/>
        <w:rPr>
          <w:rFonts w:eastAsia="Calibri"/>
          <w:b/>
          <w:i/>
          <w:sz w:val="28"/>
          <w:szCs w:val="28"/>
          <w:u w:val="single"/>
          <w:lang w:eastAsia="en-US"/>
        </w:rPr>
      </w:pPr>
      <w:r w:rsidRPr="0038282D">
        <w:rPr>
          <w:rFonts w:eastAsia="Calibri"/>
          <w:b/>
          <w:i/>
          <w:sz w:val="28"/>
          <w:szCs w:val="28"/>
          <w:u w:val="single"/>
          <w:lang w:eastAsia="en-US"/>
        </w:rPr>
        <w:t xml:space="preserve">Не включаются в состав основных фондов и не отражаются в </w:t>
      </w:r>
      <w:hyperlink r:id="rId9" w:tooltip="consultantplus://offline/ref=C36C5DA36ED9DD2D780DF4B85C12CFBCA59C0710B368F9E4375E89965BD6BF85CA1095881BE9D251O1R1H" w:history="1">
        <w:r w:rsidRPr="0038282D">
          <w:rPr>
            <w:rFonts w:eastAsia="Calibri"/>
            <w:b/>
            <w:i/>
            <w:sz w:val="28"/>
            <w:szCs w:val="28"/>
            <w:u w:val="single"/>
            <w:lang w:eastAsia="en-US"/>
          </w:rPr>
          <w:t>форме</w:t>
        </w:r>
      </w:hyperlink>
      <w:r w:rsidRPr="0038282D">
        <w:rPr>
          <w:rFonts w:eastAsia="Calibri"/>
          <w:b/>
          <w:i/>
          <w:sz w:val="28"/>
          <w:szCs w:val="28"/>
          <w:u w:val="single"/>
          <w:lang w:eastAsia="en-US"/>
        </w:rPr>
        <w:t>:</w:t>
      </w:r>
    </w:p>
    <w:p w14:paraId="4485595E" w14:textId="77777777" w:rsidR="00675075" w:rsidRPr="0038282D" w:rsidRDefault="00675075" w:rsidP="00675075">
      <w:pPr>
        <w:widowControl w:val="0"/>
        <w:ind w:firstLine="709"/>
        <w:jc w:val="both"/>
        <w:rPr>
          <w:rFonts w:eastAsia="Calibri"/>
          <w:sz w:val="28"/>
          <w:szCs w:val="28"/>
          <w:lang w:eastAsia="en-US"/>
        </w:rPr>
      </w:pPr>
    </w:p>
    <w:p w14:paraId="0BA5FB81" w14:textId="4AC24CB4" w:rsidR="00675075" w:rsidRPr="0038282D" w:rsidRDefault="00675075" w:rsidP="00675075">
      <w:pPr>
        <w:widowControl w:val="0"/>
        <w:ind w:firstLine="709"/>
        <w:jc w:val="both"/>
        <w:rPr>
          <w:rFonts w:eastAsia="Calibri"/>
          <w:sz w:val="28"/>
          <w:szCs w:val="28"/>
          <w:lang w:eastAsia="en-US"/>
        </w:rPr>
      </w:pPr>
      <w:r w:rsidRPr="0038282D">
        <w:rPr>
          <w:rFonts w:eastAsia="Calibri"/>
          <w:sz w:val="28"/>
          <w:szCs w:val="28"/>
          <w:lang w:eastAsia="en-US"/>
        </w:rPr>
        <w:t xml:space="preserve">– объекты, учитываемые в бухгалтерском балансе в статье «Земельные участки и объекты природопользования»; в статистике они относятся </w:t>
      </w:r>
      <w:r w:rsidRPr="0038282D">
        <w:rPr>
          <w:rFonts w:eastAsia="Calibri"/>
          <w:sz w:val="28"/>
          <w:szCs w:val="28"/>
          <w:lang w:eastAsia="en-US"/>
        </w:rPr>
        <w:br/>
        <w:t>к непроизведенным активам;</w:t>
      </w:r>
    </w:p>
    <w:p w14:paraId="79AE4C64" w14:textId="1B058244" w:rsidR="00675075" w:rsidRPr="0038282D" w:rsidRDefault="00675075" w:rsidP="00675075">
      <w:pPr>
        <w:widowControl w:val="0"/>
        <w:ind w:firstLine="709"/>
        <w:jc w:val="both"/>
        <w:rPr>
          <w:rFonts w:eastAsia="Calibri"/>
          <w:sz w:val="28"/>
          <w:szCs w:val="28"/>
          <w:lang w:eastAsia="en-US"/>
        </w:rPr>
      </w:pPr>
      <w:r w:rsidRPr="0038282D">
        <w:rPr>
          <w:rFonts w:eastAsia="Calibri"/>
          <w:sz w:val="28"/>
          <w:szCs w:val="28"/>
          <w:lang w:eastAsia="en-US"/>
        </w:rPr>
        <w:t>– нематериальные непроизведенные активы: обращающиеся контракты, договоры аренды и лицензии, а также маркетинговые активы (в том числе «торговые знаки») и гудвилл (деловая репутация организаций);</w:t>
      </w:r>
    </w:p>
    <w:p w14:paraId="2EB591F0" w14:textId="3D631B42" w:rsidR="00675075" w:rsidRPr="0038282D" w:rsidRDefault="00675075" w:rsidP="00675075">
      <w:pPr>
        <w:widowControl w:val="0"/>
        <w:ind w:firstLine="709"/>
        <w:jc w:val="both"/>
        <w:rPr>
          <w:rFonts w:eastAsia="Calibri"/>
          <w:sz w:val="28"/>
          <w:szCs w:val="28"/>
          <w:lang w:eastAsia="en-US"/>
        </w:rPr>
      </w:pPr>
      <w:r w:rsidRPr="0038282D">
        <w:rPr>
          <w:rFonts w:eastAsia="Calibri"/>
          <w:sz w:val="28"/>
          <w:szCs w:val="28"/>
          <w:lang w:eastAsia="en-US"/>
        </w:rPr>
        <w:t>– драгоценности, ювелирные изделия, произведения искусства;</w:t>
      </w:r>
    </w:p>
    <w:p w14:paraId="06AC768A" w14:textId="1E19816E" w:rsidR="00675075" w:rsidRPr="0038282D" w:rsidRDefault="00675075" w:rsidP="00675075">
      <w:pPr>
        <w:widowControl w:val="0"/>
        <w:ind w:firstLine="709"/>
        <w:jc w:val="both"/>
        <w:rPr>
          <w:rFonts w:eastAsia="Calibri"/>
          <w:sz w:val="28"/>
          <w:szCs w:val="28"/>
          <w:lang w:eastAsia="en-US"/>
        </w:rPr>
      </w:pPr>
      <w:r w:rsidRPr="0038282D">
        <w:rPr>
          <w:rFonts w:eastAsia="Calibri"/>
          <w:sz w:val="28"/>
          <w:szCs w:val="28"/>
          <w:lang w:eastAsia="en-US"/>
        </w:rPr>
        <w:t>– активы, отвечающие определению основных фондов, но имеющие стоимость не более 100 000 рублей за единицу.</w:t>
      </w:r>
    </w:p>
    <w:p w14:paraId="214C3126" w14:textId="77777777" w:rsidR="00675075" w:rsidRPr="0038282D" w:rsidRDefault="00675075" w:rsidP="00675075">
      <w:pPr>
        <w:widowControl w:val="0"/>
        <w:tabs>
          <w:tab w:val="left" w:pos="1418"/>
        </w:tabs>
        <w:ind w:firstLine="709"/>
        <w:contextualSpacing/>
        <w:jc w:val="both"/>
        <w:rPr>
          <w:rFonts w:eastAsia="Calibri"/>
          <w:sz w:val="28"/>
          <w:szCs w:val="28"/>
          <w:lang w:eastAsia="en-US"/>
        </w:rPr>
      </w:pPr>
      <w:r w:rsidRPr="0038282D">
        <w:rPr>
          <w:rFonts w:eastAsia="Calibri"/>
          <w:sz w:val="28"/>
          <w:szCs w:val="28"/>
          <w:lang w:eastAsia="en-US"/>
        </w:rPr>
        <w:t>Таким образом, в форме № 11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14:paraId="03064E4F" w14:textId="77777777" w:rsidR="00675075" w:rsidRPr="0038282D" w:rsidRDefault="00675075" w:rsidP="00675075">
      <w:pPr>
        <w:widowControl w:val="0"/>
        <w:tabs>
          <w:tab w:val="left" w:pos="1418"/>
        </w:tabs>
        <w:ind w:firstLine="709"/>
        <w:contextualSpacing/>
        <w:jc w:val="both"/>
        <w:rPr>
          <w:rFonts w:eastAsia="Calibri"/>
          <w:sz w:val="28"/>
          <w:szCs w:val="28"/>
          <w:lang w:eastAsia="en-US"/>
        </w:rPr>
      </w:pPr>
      <w:r w:rsidRPr="0038282D">
        <w:rPr>
          <w:rFonts w:eastAsia="Calibri"/>
          <w:sz w:val="28"/>
          <w:szCs w:val="28"/>
          <w:lang w:eastAsia="en-US"/>
        </w:rPr>
        <w:t>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14:paraId="23F6D576" w14:textId="77777777" w:rsidR="00675075" w:rsidRPr="0038282D" w:rsidRDefault="00675075" w:rsidP="00675075">
      <w:pPr>
        <w:widowControl w:val="0"/>
        <w:ind w:firstLine="709"/>
        <w:jc w:val="both"/>
        <w:rPr>
          <w:rFonts w:eastAsia="Calibri"/>
          <w:sz w:val="28"/>
          <w:szCs w:val="28"/>
          <w:lang w:eastAsia="en-US"/>
        </w:rPr>
      </w:pPr>
      <w:r w:rsidRPr="0038282D">
        <w:rPr>
          <w:rFonts w:eastAsia="Calibri"/>
          <w:sz w:val="28"/>
          <w:szCs w:val="28"/>
          <w:lang w:eastAsia="en-US"/>
        </w:rPr>
        <w:t xml:space="preserve">Эти стоимостные критерии следует применять к объекту классификации в целом по Общероссийскому классификатору основных фондов (ОКОФ). Объектом классификации материальных основных фондов является объект </w:t>
      </w:r>
      <w:r w:rsidRPr="0038282D">
        <w:rPr>
          <w:rFonts w:eastAsia="Calibri"/>
          <w:sz w:val="28"/>
          <w:szCs w:val="28"/>
          <w:lang w:eastAsia="en-US"/>
        </w:rPr>
        <w:br/>
        <w:t>со всеми приспособлениями и принадлежностями к нему.</w:t>
      </w:r>
    </w:p>
    <w:p w14:paraId="1425C12C" w14:textId="77777777" w:rsidR="005C3372" w:rsidRPr="0038282D" w:rsidRDefault="005C3372" w:rsidP="005C3372">
      <w:pPr>
        <w:widowControl w:val="0"/>
        <w:ind w:firstLine="709"/>
        <w:jc w:val="both"/>
        <w:rPr>
          <w:rFonts w:eastAsia="Calibri"/>
          <w:sz w:val="28"/>
          <w:szCs w:val="28"/>
          <w:lang w:eastAsia="en-US"/>
        </w:rPr>
      </w:pPr>
      <w:r w:rsidRPr="0038282D">
        <w:rPr>
          <w:rFonts w:eastAsia="Calibri"/>
          <w:sz w:val="28"/>
          <w:szCs w:val="28"/>
          <w:lang w:eastAsia="en-US"/>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sidRPr="0038282D">
        <w:rPr>
          <w:rFonts w:eastAsia="Calibri"/>
          <w:sz w:val="28"/>
          <w:szCs w:val="28"/>
          <w:lang w:eastAsia="en-US"/>
        </w:rPr>
        <w:br/>
        <w:t xml:space="preserve">в движении в течение года. </w:t>
      </w:r>
      <w:r w:rsidRPr="0038282D">
        <w:rPr>
          <w:rFonts w:eastAsia="Calibri"/>
          <w:sz w:val="28"/>
          <w:szCs w:val="28"/>
          <w:u w:val="single"/>
          <w:lang w:eastAsia="en-US"/>
        </w:rPr>
        <w:t>При заполнении данных</w:t>
      </w:r>
      <w:r w:rsidRPr="0038282D">
        <w:rPr>
          <w:rFonts w:eastAsia="Calibri"/>
          <w:sz w:val="28"/>
          <w:szCs w:val="28"/>
          <w:lang w:eastAsia="en-US"/>
        </w:rPr>
        <w:t xml:space="preserve"> об основных фондах, соответствующих стоимостному лимиту, </w:t>
      </w:r>
      <w:r w:rsidRPr="0038282D">
        <w:rPr>
          <w:rFonts w:eastAsia="Calibri"/>
          <w:sz w:val="28"/>
          <w:szCs w:val="28"/>
          <w:u w:val="single"/>
          <w:lang w:eastAsia="en-US"/>
        </w:rPr>
        <w:t>необходимо учитывать их первоначальную стоимость</w:t>
      </w:r>
      <w:r w:rsidRPr="0038282D">
        <w:rPr>
          <w:rFonts w:eastAsia="Calibri"/>
          <w:sz w:val="28"/>
          <w:szCs w:val="28"/>
          <w:lang w:eastAsia="en-US"/>
        </w:rPr>
        <w:t>, а не балансовую стоимость, по которой объекты основных фондов учитываются в бухгалтерском учете.</w:t>
      </w:r>
    </w:p>
    <w:p w14:paraId="7F811CF2" w14:textId="77777777" w:rsidR="00EC7DE3" w:rsidRPr="0038282D" w:rsidRDefault="00EC7DE3" w:rsidP="00EC7DE3">
      <w:pPr>
        <w:widowControl w:val="0"/>
        <w:ind w:firstLine="709"/>
        <w:jc w:val="both"/>
        <w:rPr>
          <w:sz w:val="28"/>
          <w:szCs w:val="28"/>
        </w:rPr>
      </w:pPr>
      <w:r w:rsidRPr="0038282D">
        <w:rPr>
          <w:sz w:val="28"/>
          <w:szCs w:val="28"/>
        </w:rPr>
        <w:t xml:space="preserve">Одни и те же объекты не могут включаться в итог наличия основных фондов одновременно у арендодателя и арендатора. Определение того, какая из сторон договора аренды должна отразить в форме № 11 объект основных фондов, </w:t>
      </w:r>
      <w:r w:rsidRPr="0038282D">
        <w:rPr>
          <w:sz w:val="28"/>
          <w:szCs w:val="28"/>
        </w:rPr>
        <w:lastRenderedPageBreak/>
        <w:t xml:space="preserve">находящийся в аренде (предмет аренды), зависит от статуса аренды – </w:t>
      </w:r>
      <w:r w:rsidRPr="0038282D">
        <w:rPr>
          <w:b/>
          <w:sz w:val="28"/>
          <w:szCs w:val="28"/>
        </w:rPr>
        <w:t>операционная</w:t>
      </w:r>
      <w:r w:rsidRPr="0038282D">
        <w:rPr>
          <w:sz w:val="28"/>
          <w:szCs w:val="28"/>
        </w:rPr>
        <w:t xml:space="preserve"> или </w:t>
      </w:r>
      <w:r w:rsidRPr="0038282D">
        <w:rPr>
          <w:b/>
          <w:sz w:val="28"/>
          <w:szCs w:val="28"/>
        </w:rPr>
        <w:t>неоперационная (финансовая)</w:t>
      </w:r>
      <w:r w:rsidRPr="0038282D">
        <w:rPr>
          <w:sz w:val="28"/>
          <w:szCs w:val="28"/>
        </w:rPr>
        <w:t xml:space="preserve"> аренда.</w:t>
      </w:r>
    </w:p>
    <w:p w14:paraId="64B8537E" w14:textId="77777777" w:rsidR="00017391" w:rsidRPr="0038282D" w:rsidRDefault="00017391" w:rsidP="00017391">
      <w:pPr>
        <w:widowControl w:val="0"/>
        <w:ind w:firstLine="709"/>
        <w:jc w:val="both"/>
        <w:rPr>
          <w:sz w:val="28"/>
          <w:szCs w:val="28"/>
        </w:rPr>
      </w:pPr>
      <w:r w:rsidRPr="0038282D">
        <w:rPr>
          <w:sz w:val="28"/>
          <w:szCs w:val="28"/>
        </w:rPr>
        <w:t xml:space="preserve">Пунктами 25 и 26 Федерального стандарта бухгалтерского учета «Бухгалтерский учет аренды» (далее – ФСБУ 25/2018), утвержденного приказом Минфина России от 16 октября 2018 г. № 208н (зарегистрирован Минюстом России 25 декабря 2018 г., регистрационный № 53162) регламентированы признаки для определения статуса аренды. </w:t>
      </w:r>
    </w:p>
    <w:p w14:paraId="060866B4" w14:textId="44789B2B" w:rsidR="00A23E32" w:rsidRPr="0038282D" w:rsidRDefault="001900BA" w:rsidP="003E09BA">
      <w:pPr>
        <w:widowControl w:val="0"/>
        <w:ind w:firstLine="709"/>
        <w:jc w:val="both"/>
        <w:rPr>
          <w:strike/>
          <w:sz w:val="28"/>
          <w:szCs w:val="28"/>
        </w:rPr>
      </w:pPr>
      <w:r w:rsidRPr="0038282D">
        <w:rPr>
          <w:sz w:val="28"/>
          <w:szCs w:val="28"/>
        </w:rPr>
        <w:t>По договорам аренды, к которым не применяется ФСБУ 25/2018, арендованные основные фонды в форме № 11 отражает балансодержатель.</w:t>
      </w:r>
    </w:p>
    <w:p w14:paraId="6E557303" w14:textId="77777777" w:rsidR="00115332" w:rsidRPr="0038282D" w:rsidRDefault="00115332" w:rsidP="003E09BA">
      <w:pPr>
        <w:ind w:firstLine="705"/>
        <w:rPr>
          <w:b/>
          <w:sz w:val="28"/>
          <w:szCs w:val="28"/>
        </w:rPr>
      </w:pPr>
    </w:p>
    <w:p w14:paraId="7A1DC501" w14:textId="0060114D" w:rsidR="00CF132B" w:rsidRPr="0038282D" w:rsidRDefault="007773E7" w:rsidP="003E09BA">
      <w:pPr>
        <w:ind w:firstLine="705"/>
        <w:rPr>
          <w:b/>
          <w:sz w:val="28"/>
          <w:szCs w:val="28"/>
        </w:rPr>
      </w:pPr>
      <w:r w:rsidRPr="0038282D">
        <w:rPr>
          <w:b/>
          <w:sz w:val="28"/>
          <w:szCs w:val="28"/>
        </w:rPr>
        <w:t>Особенности заполнени</w:t>
      </w:r>
      <w:r w:rsidR="00355BD0" w:rsidRPr="0038282D">
        <w:rPr>
          <w:b/>
          <w:sz w:val="28"/>
          <w:szCs w:val="28"/>
        </w:rPr>
        <w:t>я отдельных показателей формы</w:t>
      </w:r>
    </w:p>
    <w:p w14:paraId="552D4A2E" w14:textId="77777777" w:rsidR="00CF132B" w:rsidRPr="0038282D" w:rsidRDefault="007773E7" w:rsidP="003E09BA">
      <w:pPr>
        <w:ind w:firstLine="705"/>
        <w:rPr>
          <w:b/>
          <w:sz w:val="28"/>
          <w:szCs w:val="28"/>
        </w:rPr>
      </w:pPr>
      <w:r w:rsidRPr="0038282D">
        <w:rPr>
          <w:b/>
          <w:sz w:val="28"/>
          <w:szCs w:val="28"/>
        </w:rPr>
        <w:tab/>
        <w:t xml:space="preserve"> </w:t>
      </w:r>
    </w:p>
    <w:p w14:paraId="3AA825E5" w14:textId="77777777" w:rsidR="00355BD0" w:rsidRPr="0038282D" w:rsidRDefault="00F0489C" w:rsidP="00355BD0">
      <w:pPr>
        <w:ind w:firstLine="705"/>
        <w:jc w:val="both"/>
        <w:rPr>
          <w:bCs/>
          <w:sz w:val="28"/>
          <w:szCs w:val="28"/>
        </w:rPr>
      </w:pPr>
      <w:r w:rsidRPr="0038282D">
        <w:rPr>
          <w:bCs/>
          <w:sz w:val="28"/>
          <w:szCs w:val="28"/>
          <w:u w:val="single"/>
        </w:rPr>
        <w:t xml:space="preserve">Раздел </w:t>
      </w:r>
      <w:r w:rsidRPr="0038282D">
        <w:rPr>
          <w:sz w:val="28"/>
          <w:szCs w:val="28"/>
          <w:u w:val="single"/>
          <w:lang w:val="en-US"/>
        </w:rPr>
        <w:t>I</w:t>
      </w:r>
      <w:r w:rsidR="00CF132B" w:rsidRPr="0038282D">
        <w:rPr>
          <w:bCs/>
          <w:sz w:val="28"/>
          <w:szCs w:val="28"/>
          <w:u w:val="single"/>
        </w:rPr>
        <w:t xml:space="preserve"> «Наличие, движение и состав основных фондов»</w:t>
      </w:r>
      <w:r w:rsidR="007773E7" w:rsidRPr="0038282D">
        <w:rPr>
          <w:bCs/>
          <w:sz w:val="28"/>
          <w:szCs w:val="28"/>
        </w:rPr>
        <w:t xml:space="preserve"> </w:t>
      </w:r>
    </w:p>
    <w:p w14:paraId="425233F2" w14:textId="581E02D1" w:rsidR="00355BD0" w:rsidRPr="0038282D" w:rsidRDefault="00355BD0" w:rsidP="00355BD0">
      <w:pPr>
        <w:ind w:firstLine="705"/>
        <w:jc w:val="both"/>
        <w:rPr>
          <w:bCs/>
          <w:sz w:val="28"/>
          <w:szCs w:val="28"/>
        </w:rPr>
      </w:pPr>
      <w:r w:rsidRPr="0038282D">
        <w:rPr>
          <w:bCs/>
          <w:sz w:val="28"/>
          <w:szCs w:val="28"/>
        </w:rPr>
        <w:t>В строке 01 отражаются данные обо всех основных фондах организации (кроме незавершенных активов, относящихся к основным фондам, учитываемых отдельно, в разделе II</w:t>
      </w:r>
      <w:r w:rsidRPr="0038282D">
        <w:rPr>
          <w:bCs/>
          <w:sz w:val="28"/>
          <w:szCs w:val="28"/>
          <w:lang w:val="en-US"/>
        </w:rPr>
        <w:t>I</w:t>
      </w:r>
      <w:r w:rsidRPr="0038282D">
        <w:rPr>
          <w:bCs/>
          <w:sz w:val="28"/>
          <w:szCs w:val="28"/>
        </w:rPr>
        <w:t xml:space="preserve"> по строкам 26–28), находящихся у нее на правах собственности, хозяйственного ведения, оперативного управления, и учитываемых ею на счетах учета основных средств (01, 03 и счете 08 (в части произведенных материальных и нематериальных поисковых активов), а также объектах интеллектуальной собственности и основных фондах, находящихся в аренде по состоянию на конец отчетного года. При этом в строке 01 основные фонды, взятые в неоперационную аренду (в том числе финансовую), отражаются арендатором; основные фонды, сданные в операционную аренду, отражаются арендодателем.</w:t>
      </w:r>
    </w:p>
    <w:p w14:paraId="081AA435" w14:textId="75BA78A2" w:rsidR="009B59BC" w:rsidRPr="0038282D" w:rsidRDefault="00355BD0" w:rsidP="00355BD0">
      <w:pPr>
        <w:ind w:firstLine="705"/>
        <w:jc w:val="both"/>
        <w:rPr>
          <w:bCs/>
          <w:sz w:val="28"/>
          <w:szCs w:val="28"/>
        </w:rPr>
      </w:pPr>
      <w:r w:rsidRPr="0038282D">
        <w:rPr>
          <w:bCs/>
          <w:sz w:val="28"/>
          <w:szCs w:val="28"/>
        </w:rPr>
        <w:t>По строкам с 02 по 14 все основные фонды организации распределяются по видовой структуре согласно ОКОФ. Соответствие видовой структуры основных фондов кодам ОКОФ приведено в приложении № 1 к Указаниям. Источником информации для отнесения объекта основных фондов к тому или иному виду является инвентарная карточка, которая открывается при поступлении объекта основных фондов в организацию и в которой, помимо прочей информации, указывается код ОКОФ объекта основных фондов.</w:t>
      </w:r>
    </w:p>
    <w:p w14:paraId="011A3211" w14:textId="77777777" w:rsidR="009B59BC" w:rsidRPr="0038282D" w:rsidRDefault="009B59BC" w:rsidP="003E09BA">
      <w:pPr>
        <w:ind w:firstLine="705"/>
        <w:jc w:val="both"/>
        <w:rPr>
          <w:bCs/>
          <w:sz w:val="28"/>
          <w:szCs w:val="28"/>
        </w:rPr>
      </w:pPr>
    </w:p>
    <w:p w14:paraId="21940910" w14:textId="77777777" w:rsidR="00355BD0" w:rsidRPr="0038282D" w:rsidRDefault="00F0489C" w:rsidP="003E09BA">
      <w:pPr>
        <w:ind w:firstLine="705"/>
        <w:jc w:val="both"/>
        <w:rPr>
          <w:bCs/>
          <w:sz w:val="28"/>
          <w:szCs w:val="28"/>
          <w:u w:val="single"/>
        </w:rPr>
      </w:pPr>
      <w:r w:rsidRPr="0038282D">
        <w:rPr>
          <w:bCs/>
          <w:sz w:val="28"/>
          <w:szCs w:val="28"/>
          <w:u w:val="single"/>
        </w:rPr>
        <w:t xml:space="preserve">Раздел </w:t>
      </w:r>
      <w:r w:rsidR="00A4780D" w:rsidRPr="0038282D">
        <w:rPr>
          <w:sz w:val="28"/>
          <w:szCs w:val="28"/>
          <w:u w:val="single"/>
          <w:lang w:val="en-US"/>
        </w:rPr>
        <w:t>II</w:t>
      </w:r>
      <w:r w:rsidR="00F94426" w:rsidRPr="0038282D">
        <w:rPr>
          <w:bCs/>
          <w:sz w:val="28"/>
          <w:szCs w:val="28"/>
          <w:u w:val="single"/>
        </w:rPr>
        <w:t xml:space="preserve"> «Наличие и движение основных фондов по видам экономической деятельности»</w:t>
      </w:r>
    </w:p>
    <w:p w14:paraId="60ACF96A" w14:textId="65493152" w:rsidR="00355BD0" w:rsidRPr="0038282D" w:rsidRDefault="00355BD0" w:rsidP="00355BD0">
      <w:pPr>
        <w:ind w:firstLine="705"/>
        <w:jc w:val="both"/>
        <w:rPr>
          <w:bCs/>
          <w:sz w:val="28"/>
          <w:szCs w:val="28"/>
        </w:rPr>
      </w:pPr>
      <w:r w:rsidRPr="0038282D">
        <w:rPr>
          <w:bCs/>
          <w:sz w:val="28"/>
          <w:szCs w:val="28"/>
        </w:rPr>
        <w:t xml:space="preserve">В строке 15 основные фонды структурных подразделений организации распределяются по видам экономической деятельности, которые соответствуют разделам Общероссийского классификатора видов экономической деятельности </w:t>
      </w:r>
      <w:r w:rsidRPr="0038282D">
        <w:rPr>
          <w:sz w:val="28"/>
          <w:szCs w:val="28"/>
        </w:rPr>
        <w:br/>
      </w:r>
      <w:r w:rsidRPr="0038282D">
        <w:rPr>
          <w:bCs/>
          <w:sz w:val="28"/>
          <w:szCs w:val="28"/>
        </w:rPr>
        <w:t xml:space="preserve">ОК 029-2014 (КДЕС Ред. 2), утвержденного приказом Росстандарта от 31 января 2014 г. № 14-ст (далее – </w:t>
      </w:r>
      <w:hyperlink r:id="rId10" w:tooltip="consultantplus://offline/ref=C36C5DA36ED9DD2D780DF4B85C12CFBCA5980615B36AF9E4375E89965BD6BF85CA1095881BE9D252O1R2H" w:history="1">
        <w:r w:rsidRPr="0038282D">
          <w:rPr>
            <w:rStyle w:val="aa"/>
            <w:bCs/>
            <w:color w:val="auto"/>
            <w:sz w:val="28"/>
            <w:szCs w:val="28"/>
            <w:u w:val="none"/>
          </w:rPr>
          <w:t>ОКВЭД</w:t>
        </w:r>
      </w:hyperlink>
      <w:r w:rsidRPr="0038282D">
        <w:rPr>
          <w:bCs/>
          <w:sz w:val="28"/>
          <w:szCs w:val="28"/>
        </w:rPr>
        <w:t xml:space="preserve">2) (однобуквенным кодам). </w:t>
      </w:r>
    </w:p>
    <w:p w14:paraId="0C358E0A" w14:textId="66E9359E" w:rsidR="00355BD0" w:rsidRPr="0038282D" w:rsidRDefault="00355BD0" w:rsidP="00355BD0">
      <w:pPr>
        <w:ind w:firstLine="705"/>
        <w:jc w:val="both"/>
        <w:rPr>
          <w:bCs/>
          <w:sz w:val="28"/>
          <w:szCs w:val="28"/>
        </w:rPr>
      </w:pPr>
      <w:r w:rsidRPr="0038282D">
        <w:rPr>
          <w:bCs/>
          <w:sz w:val="28"/>
          <w:szCs w:val="28"/>
        </w:rPr>
        <w:t xml:space="preserve">Если несколько структурных подразделений относятся к одному и тому же виду деятельности по </w:t>
      </w:r>
      <w:hyperlink r:id="rId11" w:tooltip="consultantplus://offline/ref=C36C5DA36ED9DD2D780DF4B85C12CFBCA5980615B36AF9E4375E89965BD6BF85CA1095881BE9D252O1R2H" w:history="1">
        <w:r w:rsidRPr="0038282D">
          <w:rPr>
            <w:rStyle w:val="aa"/>
            <w:bCs/>
            <w:color w:val="auto"/>
            <w:sz w:val="28"/>
            <w:szCs w:val="28"/>
            <w:u w:val="none"/>
          </w:rPr>
          <w:t>ОКВЭД</w:t>
        </w:r>
      </w:hyperlink>
      <w:r w:rsidRPr="0038282D">
        <w:rPr>
          <w:bCs/>
          <w:sz w:val="28"/>
          <w:szCs w:val="28"/>
        </w:rPr>
        <w:t>2, то они учитываются в одной строке.</w:t>
      </w:r>
    </w:p>
    <w:p w14:paraId="547DFCD0" w14:textId="51CBCC3B" w:rsidR="008052A8" w:rsidRPr="0038282D" w:rsidRDefault="00355BD0" w:rsidP="003E09BA">
      <w:pPr>
        <w:ind w:firstLine="705"/>
        <w:jc w:val="both"/>
        <w:rPr>
          <w:bCs/>
          <w:sz w:val="28"/>
          <w:szCs w:val="28"/>
        </w:rPr>
      </w:pPr>
      <w:r w:rsidRPr="0038282D">
        <w:rPr>
          <w:bCs/>
          <w:sz w:val="28"/>
          <w:szCs w:val="28"/>
        </w:rPr>
        <w:t>В</w:t>
      </w:r>
      <w:r w:rsidR="00F94426" w:rsidRPr="0038282D">
        <w:rPr>
          <w:bCs/>
          <w:sz w:val="28"/>
          <w:szCs w:val="28"/>
        </w:rPr>
        <w:t xml:space="preserve"> строке 15</w:t>
      </w:r>
      <w:r w:rsidR="007773E7" w:rsidRPr="0038282D">
        <w:rPr>
          <w:bCs/>
          <w:sz w:val="28"/>
          <w:szCs w:val="28"/>
        </w:rPr>
        <w:t xml:space="preserve"> </w:t>
      </w:r>
      <w:r w:rsidR="00F94426" w:rsidRPr="0038282D">
        <w:rPr>
          <w:bCs/>
          <w:sz w:val="28"/>
          <w:szCs w:val="28"/>
        </w:rPr>
        <w:t>отражаются основные фонды, относящиеся к основному виду деятельности (ОВД), определяется в соответствии с уставными документами.</w:t>
      </w:r>
    </w:p>
    <w:p w14:paraId="52EC1497" w14:textId="68A6C980" w:rsidR="00D71AF5" w:rsidRPr="0038282D" w:rsidRDefault="00D71AF5" w:rsidP="003E09BA">
      <w:pPr>
        <w:ind w:firstLine="705"/>
        <w:jc w:val="both"/>
        <w:rPr>
          <w:bCs/>
          <w:sz w:val="28"/>
          <w:szCs w:val="28"/>
        </w:rPr>
      </w:pPr>
      <w:r w:rsidRPr="0038282D">
        <w:rPr>
          <w:bCs/>
          <w:sz w:val="28"/>
          <w:szCs w:val="28"/>
        </w:rPr>
        <w:t>В стр. 15.1 и далее</w:t>
      </w:r>
      <w:r w:rsidR="007773E7" w:rsidRPr="0038282D">
        <w:rPr>
          <w:bCs/>
          <w:sz w:val="28"/>
          <w:szCs w:val="28"/>
        </w:rPr>
        <w:t xml:space="preserve"> </w:t>
      </w:r>
      <w:r w:rsidRPr="0038282D">
        <w:rPr>
          <w:bCs/>
          <w:sz w:val="28"/>
          <w:szCs w:val="28"/>
        </w:rPr>
        <w:t>отражаются ОФ, относящиеся к второстепенным видам деятельности.</w:t>
      </w:r>
      <w:r w:rsidR="00BD1A52" w:rsidRPr="0038282D">
        <w:rPr>
          <w:sz w:val="28"/>
          <w:szCs w:val="28"/>
        </w:rPr>
        <w:t xml:space="preserve"> Эти строки заполняются подряд, без пустых строк, до исчерпания всех имеющихся в отчитывающейся организации видов деятельности.</w:t>
      </w:r>
    </w:p>
    <w:p w14:paraId="3067468C" w14:textId="1BC90F9F" w:rsidR="00355BD0" w:rsidRPr="0038282D" w:rsidRDefault="00355BD0" w:rsidP="00355BD0">
      <w:pPr>
        <w:ind w:firstLine="705"/>
        <w:jc w:val="both"/>
        <w:rPr>
          <w:sz w:val="28"/>
          <w:szCs w:val="28"/>
        </w:rPr>
      </w:pPr>
      <w:r w:rsidRPr="0038282D">
        <w:rPr>
          <w:sz w:val="28"/>
          <w:szCs w:val="28"/>
        </w:rPr>
        <w:t xml:space="preserve">В графе В раздела </w:t>
      </w:r>
      <w:r w:rsidRPr="0038282D">
        <w:rPr>
          <w:sz w:val="28"/>
          <w:szCs w:val="28"/>
          <w:lang w:val="en-US"/>
        </w:rPr>
        <w:t>II</w:t>
      </w:r>
      <w:r w:rsidRPr="0038282D">
        <w:rPr>
          <w:sz w:val="28"/>
          <w:szCs w:val="28"/>
        </w:rPr>
        <w:t xml:space="preserve"> </w:t>
      </w:r>
      <w:hyperlink r:id="rId12" w:tooltip="consultantplus://offline/ref=C36C5DA36ED9DD2D780DF4B85C12CFBCA59C0710B368F9E4375E89965BD6BF85CA1095881BE9D251O1R1H" w:history="1">
        <w:r w:rsidRPr="0038282D">
          <w:rPr>
            <w:rStyle w:val="aa"/>
            <w:color w:val="auto"/>
            <w:sz w:val="28"/>
            <w:szCs w:val="28"/>
            <w:u w:val="none"/>
          </w:rPr>
          <w:t xml:space="preserve">формы </w:t>
        </w:r>
      </w:hyperlink>
      <w:r w:rsidRPr="0038282D">
        <w:rPr>
          <w:sz w:val="28"/>
          <w:szCs w:val="28"/>
        </w:rPr>
        <w:t xml:space="preserve">учитываются только те разделы </w:t>
      </w:r>
      <w:hyperlink r:id="rId13" w:tooltip="consultantplus://offline/ref=C36C5DA36ED9DD2D780DF4B85C12CFBCA5980615B36AF9E4375E89965BD6BF85CA1095881BE9D252O1R2H" w:history="1">
        <w:r w:rsidRPr="0038282D">
          <w:rPr>
            <w:rStyle w:val="aa"/>
            <w:color w:val="auto"/>
            <w:sz w:val="28"/>
            <w:szCs w:val="28"/>
            <w:u w:val="none"/>
          </w:rPr>
          <w:t>ОКВЭД</w:t>
        </w:r>
      </w:hyperlink>
      <w:r w:rsidRPr="0038282D">
        <w:rPr>
          <w:sz w:val="28"/>
          <w:szCs w:val="28"/>
        </w:rPr>
        <w:t xml:space="preserve">2, которые соответствуют однобуквенным кодам ОКВЭД2. Названия и разделы видов деятельности низших уровней ОКВЭД2 в графе В раздела </w:t>
      </w:r>
      <w:r w:rsidRPr="0038282D">
        <w:rPr>
          <w:sz w:val="28"/>
          <w:szCs w:val="28"/>
          <w:lang w:val="en-US"/>
        </w:rPr>
        <w:t>II</w:t>
      </w:r>
      <w:r w:rsidRPr="0038282D">
        <w:rPr>
          <w:sz w:val="28"/>
          <w:szCs w:val="28"/>
        </w:rPr>
        <w:t xml:space="preserve"> </w:t>
      </w:r>
      <w:hyperlink r:id="rId14" w:tooltip="consultantplus://offline/ref=C36C5DA36ED9DD2D780DF4B85C12CFBCA59C0710B368F9E4375E89965BD6BF85CA1095881BE9D251O1R1H" w:history="1">
        <w:r w:rsidRPr="0038282D">
          <w:rPr>
            <w:rStyle w:val="aa"/>
            <w:color w:val="auto"/>
            <w:sz w:val="28"/>
            <w:szCs w:val="28"/>
            <w:u w:val="none"/>
          </w:rPr>
          <w:t>формы</w:t>
        </w:r>
        <w:r w:rsidRPr="0038282D">
          <w:rPr>
            <w:rStyle w:val="aa"/>
            <w:color w:val="auto"/>
            <w:sz w:val="28"/>
            <w:szCs w:val="28"/>
          </w:rPr>
          <w:t xml:space="preserve"> </w:t>
        </w:r>
      </w:hyperlink>
      <w:r w:rsidRPr="0038282D">
        <w:rPr>
          <w:sz w:val="28"/>
          <w:szCs w:val="28"/>
        </w:rPr>
        <w:t>не отражаются. Соответствие буквенного и цифрового кодов видов экономической деятельности по ОКВЭД2 приведено в Приложении 2 к Указаниям.</w:t>
      </w:r>
    </w:p>
    <w:p w14:paraId="0B69173D" w14:textId="77777777" w:rsidR="00355BD0" w:rsidRPr="0038282D" w:rsidRDefault="00355BD0" w:rsidP="003E09BA">
      <w:pPr>
        <w:ind w:firstLine="705"/>
        <w:jc w:val="both"/>
        <w:rPr>
          <w:bCs/>
          <w:sz w:val="28"/>
          <w:szCs w:val="28"/>
          <w:u w:val="single"/>
        </w:rPr>
      </w:pPr>
    </w:p>
    <w:p w14:paraId="64F52374" w14:textId="77777777" w:rsidR="00355BD0" w:rsidRPr="0038282D" w:rsidRDefault="00BD1A52" w:rsidP="003E09BA">
      <w:pPr>
        <w:ind w:firstLine="705"/>
        <w:jc w:val="both"/>
        <w:rPr>
          <w:sz w:val="28"/>
          <w:szCs w:val="28"/>
          <w:u w:val="single"/>
        </w:rPr>
      </w:pPr>
      <w:r w:rsidRPr="0038282D">
        <w:rPr>
          <w:bCs/>
          <w:sz w:val="28"/>
          <w:szCs w:val="28"/>
          <w:u w:val="single"/>
        </w:rPr>
        <w:t xml:space="preserve">Раздел </w:t>
      </w:r>
      <w:r w:rsidRPr="0038282D">
        <w:rPr>
          <w:sz w:val="28"/>
          <w:szCs w:val="28"/>
          <w:u w:val="single"/>
          <w:lang w:val="en-US"/>
        </w:rPr>
        <w:t>III</w:t>
      </w:r>
      <w:r w:rsidR="0093148E" w:rsidRPr="0038282D">
        <w:rPr>
          <w:sz w:val="28"/>
          <w:szCs w:val="28"/>
          <w:u w:val="single"/>
        </w:rPr>
        <w:t xml:space="preserve"> «Наличие и средний возраст основных фондов»</w:t>
      </w:r>
    </w:p>
    <w:p w14:paraId="31849113" w14:textId="77777777" w:rsidR="0069797C" w:rsidRPr="0038282D" w:rsidRDefault="0069797C" w:rsidP="0069797C">
      <w:pPr>
        <w:ind w:firstLine="705"/>
        <w:jc w:val="both"/>
        <w:rPr>
          <w:bCs/>
          <w:sz w:val="28"/>
          <w:szCs w:val="28"/>
        </w:rPr>
      </w:pPr>
      <w:r w:rsidRPr="0038282D">
        <w:rPr>
          <w:bCs/>
          <w:sz w:val="28"/>
          <w:szCs w:val="28"/>
        </w:rPr>
        <w:t xml:space="preserve">По строке 19 из строки 01 раздела I выделяются данные о доходных вложениях в материальные ценности. К ним относятся основные фонды, отражаемые в бухгалтерском учете на счете 03 «Доходные вложения в материальные ценности», принадлежащие организации, но не используемые ею непосредственно для производства товаров и услуг и не предназначенные для этого, а сданные в аренду, лизинг, прокат или предназначенные для сдачи в аренду, лизинг (в том числе с последующим выкупом), прокат (кроме имущества потребительского назначения, не относящегося к основным фондам) с целью извлечения дохода. </w:t>
      </w:r>
    </w:p>
    <w:p w14:paraId="16A3D24F" w14:textId="77777777" w:rsidR="0069797C" w:rsidRPr="0038282D" w:rsidRDefault="0069797C" w:rsidP="003E09BA">
      <w:pPr>
        <w:ind w:firstLine="705"/>
        <w:jc w:val="both"/>
        <w:rPr>
          <w:rFonts w:eastAsia="Calibri"/>
          <w:sz w:val="28"/>
          <w:szCs w:val="28"/>
          <w:lang w:eastAsia="en-US"/>
        </w:rPr>
      </w:pPr>
      <w:r w:rsidRPr="0038282D">
        <w:rPr>
          <w:rFonts w:eastAsia="Calibri"/>
          <w:sz w:val="28"/>
          <w:szCs w:val="28"/>
          <w:lang w:eastAsia="en-US"/>
        </w:rPr>
        <w:t xml:space="preserve">В строках 20 и 21 учитываются данные об аренде основных фондов </w:t>
      </w:r>
      <w:r w:rsidRPr="0038282D">
        <w:rPr>
          <w:rFonts w:eastAsia="Calibri"/>
          <w:sz w:val="28"/>
          <w:szCs w:val="28"/>
          <w:lang w:eastAsia="en-US"/>
        </w:rPr>
        <w:br/>
        <w:t>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w:t>
      </w:r>
    </w:p>
    <w:p w14:paraId="42F8D996" w14:textId="0752AE05" w:rsidR="0069797C" w:rsidRPr="0038282D" w:rsidRDefault="0069797C" w:rsidP="0069797C">
      <w:pPr>
        <w:ind w:firstLine="705"/>
        <w:jc w:val="both"/>
        <w:rPr>
          <w:rFonts w:eastAsia="Calibri"/>
          <w:sz w:val="28"/>
          <w:szCs w:val="28"/>
          <w:lang w:eastAsia="en-US"/>
        </w:rPr>
      </w:pPr>
      <w:r w:rsidRPr="0038282D">
        <w:rPr>
          <w:rFonts w:eastAsia="Calibri"/>
          <w:sz w:val="28"/>
          <w:szCs w:val="28"/>
          <w:lang w:eastAsia="en-US"/>
        </w:rPr>
        <w:t>По строке 23 из всего объема увеличения полной учетной стоимости за отчетный год, вызванного созданием новой стоимости, то есть вводом в течение года новых основных фондов, модернизацией и реконструкцией имеющихся основных фондов (строка 01, графа 4), выделяются затраты на приобретение, строительство, выращивание новых основных фондов, осуществленных в том же году.</w:t>
      </w:r>
    </w:p>
    <w:p w14:paraId="4F70EB8E" w14:textId="21F8D74C" w:rsidR="0069797C" w:rsidRPr="0038282D" w:rsidRDefault="0069797C" w:rsidP="0069797C">
      <w:pPr>
        <w:ind w:firstLine="705"/>
        <w:jc w:val="both"/>
        <w:rPr>
          <w:rFonts w:eastAsia="Calibri"/>
          <w:sz w:val="28"/>
          <w:szCs w:val="28"/>
          <w:lang w:eastAsia="en-US"/>
        </w:rPr>
      </w:pPr>
      <w:r w:rsidRPr="0038282D">
        <w:rPr>
          <w:rFonts w:eastAsia="Calibri"/>
          <w:sz w:val="28"/>
          <w:szCs w:val="28"/>
          <w:lang w:eastAsia="en-US"/>
        </w:rPr>
        <w:t>В строке 24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(с учетом переоценки, осуществленной по состоянию на конец отчетного года) и стоимости основных фондов на первое число каждого из всех остальных месяцев отчетного года, включая декабрь</w:t>
      </w:r>
      <w:r w:rsidR="00027AD4">
        <w:rPr>
          <w:rFonts w:eastAsia="Calibri"/>
          <w:sz w:val="28"/>
          <w:szCs w:val="28"/>
          <w:lang w:eastAsia="en-US"/>
        </w:rPr>
        <w:t xml:space="preserve"> (</w:t>
      </w:r>
      <w:r w:rsidR="00027AD4" w:rsidRPr="00027AD4">
        <w:rPr>
          <w:rFonts w:eastAsia="Calibri"/>
          <w:i/>
          <w:sz w:val="28"/>
          <w:szCs w:val="28"/>
          <w:lang w:eastAsia="en-US"/>
        </w:rPr>
        <w:t>Расчет по формуле:  ½ полной учетной стоимости на 01.01.2023 + полная учетная стоимость на 1 число каждого месяца (с учетом движения ОФ) + ½ полной учетной стоимости на 31.12.2023) / 12</w:t>
      </w:r>
      <w:r w:rsidR="00027AD4">
        <w:rPr>
          <w:rFonts w:eastAsia="Calibri"/>
          <w:sz w:val="28"/>
          <w:szCs w:val="28"/>
          <w:lang w:eastAsia="en-US"/>
        </w:rPr>
        <w:t xml:space="preserve"> )</w:t>
      </w:r>
      <w:r w:rsidRPr="0038282D">
        <w:rPr>
          <w:rFonts w:eastAsia="Calibri"/>
          <w:sz w:val="28"/>
          <w:szCs w:val="28"/>
          <w:lang w:eastAsia="en-US"/>
        </w:rPr>
        <w:t>.</w:t>
      </w:r>
    </w:p>
    <w:p w14:paraId="7F1BA278" w14:textId="2100B988" w:rsidR="0069797C" w:rsidRPr="0038282D" w:rsidRDefault="0069797C" w:rsidP="0069797C">
      <w:pPr>
        <w:ind w:firstLine="705"/>
        <w:jc w:val="both"/>
        <w:rPr>
          <w:rFonts w:eastAsia="Calibri"/>
          <w:sz w:val="28"/>
          <w:szCs w:val="28"/>
          <w:lang w:eastAsia="en-US"/>
        </w:rPr>
      </w:pPr>
      <w:r w:rsidRPr="0038282D">
        <w:rPr>
          <w:rFonts w:eastAsia="Calibri"/>
          <w:sz w:val="28"/>
          <w:szCs w:val="28"/>
          <w:lang w:eastAsia="en-US"/>
        </w:rPr>
        <w:t>В строке 25 учитываются данные о стоимости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 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забалансовых счетах (в том числе при передаче по лизингу по текущей рыночной стоимости).</w:t>
      </w:r>
    </w:p>
    <w:p w14:paraId="7CE93CEA" w14:textId="4C2604B3" w:rsidR="004B177E" w:rsidRPr="0038282D" w:rsidRDefault="004B177E" w:rsidP="004B177E">
      <w:pPr>
        <w:ind w:firstLine="705"/>
        <w:jc w:val="both"/>
        <w:rPr>
          <w:rFonts w:eastAsia="Calibri"/>
          <w:sz w:val="28"/>
          <w:szCs w:val="28"/>
          <w:lang w:eastAsia="en-US"/>
        </w:rPr>
      </w:pPr>
      <w:r w:rsidRPr="0038282D">
        <w:rPr>
          <w:rFonts w:eastAsia="Calibri"/>
          <w:sz w:val="28"/>
          <w:szCs w:val="28"/>
          <w:lang w:eastAsia="en-US"/>
        </w:rPr>
        <w:t xml:space="preserve">По строке 26 приводятся данные о незавершенном производстве транспортных средств, машин и оборудования, </w:t>
      </w:r>
      <w:r w:rsidRPr="0038282D">
        <w:rPr>
          <w:rFonts w:eastAsia="Calibri"/>
          <w:sz w:val="28"/>
          <w:szCs w:val="28"/>
          <w:u w:val="single"/>
          <w:lang w:eastAsia="en-US"/>
        </w:rPr>
        <w:t>имеющих длительный цикл производства</w:t>
      </w:r>
      <w:r w:rsidRPr="0038282D">
        <w:rPr>
          <w:rFonts w:eastAsia="Calibri"/>
          <w:sz w:val="28"/>
          <w:szCs w:val="28"/>
          <w:lang w:eastAsia="en-US"/>
        </w:rPr>
        <w:t xml:space="preserve"> и предназначенных для собственного использования или оплаченных заказчиком.</w:t>
      </w:r>
    </w:p>
    <w:p w14:paraId="698F2CC7" w14:textId="658C7E52" w:rsidR="004B177E" w:rsidRPr="0038282D" w:rsidRDefault="004B177E" w:rsidP="004B177E">
      <w:pPr>
        <w:ind w:firstLine="705"/>
        <w:jc w:val="both"/>
        <w:rPr>
          <w:rFonts w:eastAsia="Calibri"/>
          <w:sz w:val="28"/>
          <w:szCs w:val="28"/>
          <w:lang w:eastAsia="en-US"/>
        </w:rPr>
      </w:pPr>
      <w:r w:rsidRPr="0038282D">
        <w:rPr>
          <w:rFonts w:eastAsia="Calibri"/>
          <w:sz w:val="28"/>
          <w:szCs w:val="28"/>
          <w:lang w:eastAsia="en-US"/>
        </w:rPr>
        <w:t>По строке 27 отражаются данные об оборудовании, предназначенном к установке,</w:t>
      </w:r>
      <w:r w:rsidRPr="0038282D">
        <w:t xml:space="preserve"> </w:t>
      </w:r>
      <w:r w:rsidRPr="0038282D">
        <w:rPr>
          <w:rFonts w:eastAsia="Calibri"/>
          <w:sz w:val="28"/>
          <w:szCs w:val="28"/>
          <w:lang w:eastAsia="en-US"/>
        </w:rPr>
        <w:t>учитываемое на счете 07 «Оборудование к установке».</w:t>
      </w:r>
    </w:p>
    <w:p w14:paraId="27A7A5B3" w14:textId="7388654E" w:rsidR="004B177E" w:rsidRPr="0038282D" w:rsidRDefault="004B177E" w:rsidP="004B177E">
      <w:pPr>
        <w:ind w:firstLine="705"/>
        <w:jc w:val="both"/>
        <w:rPr>
          <w:rFonts w:eastAsia="Calibri"/>
          <w:sz w:val="28"/>
          <w:szCs w:val="28"/>
          <w:lang w:eastAsia="en-US"/>
        </w:rPr>
      </w:pPr>
      <w:r w:rsidRPr="0038282D">
        <w:rPr>
          <w:rFonts w:eastAsia="Calibri"/>
          <w:sz w:val="28"/>
          <w:szCs w:val="28"/>
          <w:lang w:eastAsia="en-US"/>
        </w:rPr>
        <w:t>По строке 28 отражаются данные об объектах, не завершенных строительством. К ним относятся объекты, учитываемые на счете 08 «Вложения во внеоборотные активы», субсчете 3 «Строительство объектов основных средств».</w:t>
      </w:r>
    </w:p>
    <w:p w14:paraId="22322205" w14:textId="2D8E2DDA" w:rsidR="00157E7F" w:rsidRPr="0038282D" w:rsidRDefault="00157E7F" w:rsidP="00157E7F">
      <w:pPr>
        <w:widowControl w:val="0"/>
        <w:ind w:firstLine="709"/>
        <w:jc w:val="both"/>
        <w:rPr>
          <w:bCs/>
          <w:sz w:val="28"/>
          <w:szCs w:val="28"/>
        </w:rPr>
      </w:pPr>
      <w:r w:rsidRPr="0038282D">
        <w:rPr>
          <w:bCs/>
          <w:sz w:val="28"/>
          <w:szCs w:val="28"/>
        </w:rPr>
        <w:t xml:space="preserve">В строках с 29 по 32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 </w:t>
      </w:r>
    </w:p>
    <w:p w14:paraId="4281D4BE" w14:textId="77777777" w:rsidR="00157E7F" w:rsidRPr="0038282D" w:rsidRDefault="00157E7F" w:rsidP="00157E7F">
      <w:pPr>
        <w:widowControl w:val="0"/>
        <w:ind w:firstLine="709"/>
        <w:jc w:val="both"/>
        <w:rPr>
          <w:bCs/>
          <w:sz w:val="28"/>
          <w:szCs w:val="28"/>
        </w:rPr>
      </w:pPr>
      <w:r w:rsidRPr="0038282D">
        <w:rPr>
          <w:bCs/>
          <w:sz w:val="28"/>
          <w:szCs w:val="28"/>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
    <w:p w14:paraId="5A543C7F" w14:textId="18B530E5" w:rsidR="00157E7F" w:rsidRPr="0038282D" w:rsidRDefault="00157E7F" w:rsidP="00157E7F">
      <w:pPr>
        <w:widowControl w:val="0"/>
        <w:ind w:firstLine="709"/>
        <w:jc w:val="both"/>
        <w:rPr>
          <w:bCs/>
          <w:i/>
          <w:sz w:val="28"/>
          <w:szCs w:val="28"/>
        </w:rPr>
      </w:pPr>
      <w:r w:rsidRPr="0038282D">
        <w:rPr>
          <w:bCs/>
          <w:i/>
          <w:sz w:val="28"/>
          <w:szCs w:val="28"/>
        </w:rPr>
        <w:t>Например, при наличии 5-и зданий: с полной учетной стоимостью 4000 тыс. руб. возрастом 38 лет, 3000 тыс. руб. возрастом 23 года, 1000 тыс. руб. возрастом 7 лет, 1400 тыс. руб. возрастом 21 лет и 1800 тыс. руб. возрастом 20 лет (общей стоимостью 11200 тыс. руб.), их средний возраст составит 4000 х 38 / 11200 + 3000 х 23 / 11200 + 1000 х 7 / 11200 + 1400 х 21 / 11200 + 1800 х 20 / 11200 = 14 + 6 + 1 + 3 + 3 = 27 лет.</w:t>
      </w:r>
    </w:p>
    <w:p w14:paraId="55E7B7EE" w14:textId="313F45E9" w:rsidR="000B556E" w:rsidRPr="0038282D" w:rsidRDefault="0006142A" w:rsidP="00157E7F">
      <w:pPr>
        <w:widowControl w:val="0"/>
        <w:ind w:firstLine="709"/>
        <w:jc w:val="both"/>
        <w:rPr>
          <w:sz w:val="28"/>
          <w:szCs w:val="28"/>
        </w:rPr>
      </w:pPr>
      <w:r w:rsidRPr="0038282D">
        <w:rPr>
          <w:sz w:val="28"/>
          <w:szCs w:val="28"/>
        </w:rPr>
        <w:t>В строках с 33 по 37 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здания; сооружения; машины и оборудование; транспортные средства</w:t>
      </w:r>
      <w:r w:rsidR="00CF6817" w:rsidRPr="0038282D">
        <w:rPr>
          <w:sz w:val="28"/>
          <w:szCs w:val="28"/>
        </w:rPr>
        <w:t xml:space="preserve"> (должен быть указан один из годов </w:t>
      </w:r>
      <w:r w:rsidR="00CF6817" w:rsidRPr="0038282D">
        <w:rPr>
          <w:sz w:val="28"/>
          <w:szCs w:val="28"/>
        </w:rPr>
        <w:br/>
        <w:t>от 1995 до отчетного года включительно)</w:t>
      </w:r>
      <w:r w:rsidR="000B556E" w:rsidRPr="0038282D">
        <w:rPr>
          <w:sz w:val="28"/>
          <w:szCs w:val="28"/>
        </w:rPr>
        <w:t>.</w:t>
      </w:r>
    </w:p>
    <w:p w14:paraId="6369C286" w14:textId="77777777" w:rsidR="0006142A" w:rsidRPr="0038282D" w:rsidRDefault="0006142A" w:rsidP="003E09BA">
      <w:pPr>
        <w:widowControl w:val="0"/>
        <w:ind w:firstLine="709"/>
        <w:jc w:val="both"/>
        <w:rPr>
          <w:sz w:val="28"/>
          <w:szCs w:val="28"/>
          <w:u w:val="single"/>
        </w:rPr>
      </w:pPr>
    </w:p>
    <w:p w14:paraId="78D003B8" w14:textId="77777777" w:rsidR="0006142A" w:rsidRPr="0038282D" w:rsidRDefault="003C7FF9" w:rsidP="003E09BA">
      <w:pPr>
        <w:widowControl w:val="0"/>
        <w:ind w:firstLine="709"/>
        <w:jc w:val="both"/>
        <w:rPr>
          <w:sz w:val="28"/>
          <w:szCs w:val="28"/>
          <w:u w:val="single"/>
        </w:rPr>
      </w:pPr>
      <w:r w:rsidRPr="0038282D">
        <w:rPr>
          <w:sz w:val="28"/>
          <w:szCs w:val="28"/>
          <w:u w:val="single"/>
        </w:rPr>
        <w:t xml:space="preserve">Раздел </w:t>
      </w:r>
      <w:r w:rsidRPr="0038282D">
        <w:rPr>
          <w:sz w:val="28"/>
          <w:szCs w:val="28"/>
          <w:u w:val="single"/>
          <w:lang w:val="en-US"/>
        </w:rPr>
        <w:t>IV</w:t>
      </w:r>
      <w:r w:rsidRPr="0038282D">
        <w:rPr>
          <w:sz w:val="28"/>
          <w:szCs w:val="28"/>
          <w:u w:val="single"/>
        </w:rPr>
        <w:t xml:space="preserve"> </w:t>
      </w:r>
      <w:r w:rsidR="008E2E4B" w:rsidRPr="0038282D">
        <w:rPr>
          <w:sz w:val="28"/>
          <w:szCs w:val="28"/>
          <w:u w:val="single"/>
        </w:rPr>
        <w:t>«Среднегодовая полная учетная стоимость основных фондов организации»</w:t>
      </w:r>
    </w:p>
    <w:p w14:paraId="67A973C8" w14:textId="77777777" w:rsidR="0006142A" w:rsidRPr="0038282D" w:rsidRDefault="0006142A" w:rsidP="0006142A">
      <w:pPr>
        <w:widowControl w:val="0"/>
        <w:ind w:firstLine="709"/>
        <w:jc w:val="both"/>
        <w:outlineLvl w:val="2"/>
        <w:rPr>
          <w:sz w:val="28"/>
          <w:szCs w:val="28"/>
        </w:rPr>
      </w:pPr>
      <w:r w:rsidRPr="0038282D">
        <w:rPr>
          <w:sz w:val="28"/>
          <w:szCs w:val="28"/>
        </w:rPr>
        <w:t>В этом разделе по строке 41 в графе 4 указываются данные 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14:paraId="65C5A191" w14:textId="41C7F43C" w:rsidR="0006142A" w:rsidRPr="0038282D" w:rsidRDefault="0006142A" w:rsidP="0006142A">
      <w:pPr>
        <w:widowControl w:val="0"/>
        <w:ind w:firstLine="709"/>
        <w:jc w:val="both"/>
        <w:outlineLvl w:val="2"/>
        <w:rPr>
          <w:sz w:val="28"/>
          <w:szCs w:val="28"/>
        </w:rPr>
      </w:pPr>
      <w:r w:rsidRPr="0038282D">
        <w:rPr>
          <w:sz w:val="28"/>
          <w:szCs w:val="28"/>
        </w:rPr>
        <w:t>По строке 42 в графе 4 показываются данные о среднегодовой полной учетной стоимости основных фондов организации.</w:t>
      </w:r>
    </w:p>
    <w:p w14:paraId="19BBAA06" w14:textId="3DC1AA0E" w:rsidR="008E2E4B" w:rsidRPr="0038282D" w:rsidRDefault="007C02DB" w:rsidP="0006142A">
      <w:pPr>
        <w:widowControl w:val="0"/>
        <w:ind w:firstLine="709"/>
        <w:jc w:val="both"/>
        <w:outlineLvl w:val="2"/>
        <w:rPr>
          <w:sz w:val="28"/>
          <w:szCs w:val="28"/>
        </w:rPr>
      </w:pPr>
      <w:r w:rsidRPr="0038282D">
        <w:rPr>
          <w:sz w:val="28"/>
          <w:szCs w:val="28"/>
        </w:rPr>
        <w:t xml:space="preserve">В графе 5 по строке 42 необходимо перечислить </w:t>
      </w:r>
      <w:r w:rsidRPr="0038282D">
        <w:rPr>
          <w:sz w:val="28"/>
          <w:szCs w:val="28"/>
          <w:u w:val="single"/>
        </w:rPr>
        <w:t xml:space="preserve">все коды ОКПО (не менее 8 </w:t>
      </w:r>
      <w:r w:rsidR="0006142A" w:rsidRPr="0038282D">
        <w:rPr>
          <w:sz w:val="28"/>
          <w:szCs w:val="28"/>
          <w:u w:val="single"/>
        </w:rPr>
        <w:t>знаков) /</w:t>
      </w:r>
      <w:r w:rsidRPr="0038282D">
        <w:rPr>
          <w:sz w:val="28"/>
          <w:szCs w:val="28"/>
          <w:u w:val="single"/>
        </w:rPr>
        <w:t>идентификационные номера обособленных подразделений (не менее 14 знаков)</w:t>
      </w:r>
      <w:r w:rsidRPr="0038282D">
        <w:rPr>
          <w:sz w:val="28"/>
          <w:szCs w:val="28"/>
        </w:rPr>
        <w:t>, включенные в отчет</w:t>
      </w:r>
      <w:r w:rsidR="00464EBD" w:rsidRPr="0038282D">
        <w:rPr>
          <w:sz w:val="28"/>
          <w:szCs w:val="28"/>
        </w:rPr>
        <w:t>, в том числе подразделений, имеющих среднегодовую полную учетную стоимость, равную 0.</w:t>
      </w:r>
    </w:p>
    <w:p w14:paraId="4E63635D" w14:textId="63F04311" w:rsidR="000B556E" w:rsidRPr="0038282D" w:rsidRDefault="00B1370D" w:rsidP="003E09BA">
      <w:pPr>
        <w:ind w:firstLine="705"/>
        <w:jc w:val="both"/>
        <w:rPr>
          <w:sz w:val="28"/>
          <w:szCs w:val="28"/>
        </w:rPr>
      </w:pPr>
      <w:r w:rsidRPr="0038282D">
        <w:rPr>
          <w:sz w:val="28"/>
          <w:szCs w:val="28"/>
        </w:rPr>
        <w:t>Если код ОКПО менее 8 знаков /идентификационный номер менее 14 знаков, то недостающие знаки необходимо дополнить нулями в начале кодов (</w:t>
      </w:r>
      <w:r w:rsidR="0006142A" w:rsidRPr="0038282D">
        <w:rPr>
          <w:sz w:val="28"/>
          <w:szCs w:val="28"/>
        </w:rPr>
        <w:t>например,</w:t>
      </w:r>
      <w:r w:rsidRPr="0038282D">
        <w:rPr>
          <w:sz w:val="28"/>
          <w:szCs w:val="28"/>
        </w:rPr>
        <w:t xml:space="preserve"> </w:t>
      </w:r>
      <w:proofErr w:type="spellStart"/>
      <w:r w:rsidRPr="0038282D">
        <w:rPr>
          <w:sz w:val="28"/>
          <w:szCs w:val="28"/>
        </w:rPr>
        <w:t>хххххх</w:t>
      </w:r>
      <w:proofErr w:type="spellEnd"/>
      <w:r w:rsidRPr="0038282D">
        <w:rPr>
          <w:sz w:val="28"/>
          <w:szCs w:val="28"/>
        </w:rPr>
        <w:t xml:space="preserve"> – 00хххххх или </w:t>
      </w:r>
      <w:proofErr w:type="spellStart"/>
      <w:r w:rsidRPr="0038282D">
        <w:rPr>
          <w:sz w:val="28"/>
          <w:szCs w:val="28"/>
        </w:rPr>
        <w:t>хххххххххххх</w:t>
      </w:r>
      <w:proofErr w:type="spellEnd"/>
      <w:r w:rsidRPr="0038282D">
        <w:rPr>
          <w:sz w:val="28"/>
          <w:szCs w:val="28"/>
        </w:rPr>
        <w:t xml:space="preserve"> – 00хххххххххххх).</w:t>
      </w:r>
    </w:p>
    <w:p w14:paraId="26C00C9C" w14:textId="090BB080" w:rsidR="0006142A" w:rsidRPr="0038282D" w:rsidRDefault="0006142A" w:rsidP="0006142A">
      <w:pPr>
        <w:pStyle w:val="ac"/>
        <w:spacing w:before="160"/>
        <w:ind w:firstLine="709"/>
        <w:jc w:val="both"/>
        <w:rPr>
          <w:rFonts w:ascii="Times New Roman" w:hAnsi="Times New Roman"/>
          <w:sz w:val="28"/>
          <w:szCs w:val="28"/>
        </w:rPr>
      </w:pPr>
      <w:r w:rsidRPr="0038282D">
        <w:rPr>
          <w:rFonts w:ascii="Times New Roman" w:hAnsi="Times New Roman"/>
          <w:sz w:val="28"/>
          <w:szCs w:val="28"/>
        </w:rPr>
        <w:t xml:space="preserve">Обязательные контроли к разделу IV: </w:t>
      </w:r>
    </w:p>
    <w:p w14:paraId="30B080A2" w14:textId="5F842D6E" w:rsidR="0006142A" w:rsidRPr="0038282D" w:rsidRDefault="0006142A" w:rsidP="0006142A">
      <w:pPr>
        <w:pStyle w:val="ac"/>
        <w:spacing w:before="160"/>
        <w:ind w:firstLine="709"/>
        <w:jc w:val="both"/>
        <w:rPr>
          <w:rFonts w:ascii="Times New Roman" w:hAnsi="Times New Roman"/>
          <w:sz w:val="28"/>
          <w:szCs w:val="28"/>
        </w:rPr>
      </w:pPr>
      <w:r w:rsidRPr="0038282D">
        <w:rPr>
          <w:rFonts w:ascii="Times New Roman" w:hAnsi="Times New Roman"/>
          <w:sz w:val="28"/>
          <w:szCs w:val="28"/>
        </w:rPr>
        <w:t>– стр. 41 гр. 4 ≥ 1;</w:t>
      </w:r>
    </w:p>
    <w:p w14:paraId="0205A8A9" w14:textId="29704B25" w:rsidR="0006142A" w:rsidRPr="0038282D" w:rsidRDefault="0006142A" w:rsidP="0006142A">
      <w:pPr>
        <w:pStyle w:val="ac"/>
        <w:spacing w:before="160"/>
        <w:ind w:firstLine="709"/>
        <w:jc w:val="both"/>
        <w:rPr>
          <w:rFonts w:ascii="Times New Roman" w:hAnsi="Times New Roman"/>
          <w:sz w:val="28"/>
          <w:szCs w:val="28"/>
        </w:rPr>
      </w:pPr>
      <w:r w:rsidRPr="0038282D">
        <w:rPr>
          <w:rFonts w:ascii="Times New Roman" w:hAnsi="Times New Roman"/>
          <w:sz w:val="28"/>
          <w:szCs w:val="28"/>
        </w:rPr>
        <w:t>– Σ строк 42 по гр. 4 по обособленным подразделениям и головному подразделению = стр. 24 гр. 3 раздела III;</w:t>
      </w:r>
    </w:p>
    <w:p w14:paraId="3342B64D" w14:textId="77777777" w:rsidR="0006142A" w:rsidRPr="0038282D" w:rsidRDefault="0006142A" w:rsidP="0006142A">
      <w:pPr>
        <w:pStyle w:val="ac"/>
        <w:spacing w:before="160"/>
        <w:ind w:firstLine="709"/>
        <w:jc w:val="both"/>
        <w:rPr>
          <w:rFonts w:ascii="Times New Roman" w:hAnsi="Times New Roman"/>
          <w:sz w:val="28"/>
          <w:szCs w:val="28"/>
        </w:rPr>
      </w:pPr>
      <w:r w:rsidRPr="0038282D">
        <w:rPr>
          <w:rFonts w:ascii="Times New Roman" w:hAnsi="Times New Roman"/>
          <w:sz w:val="28"/>
          <w:szCs w:val="28"/>
        </w:rPr>
        <w:t>– количество ОКПО по стр. 42 гр. 5 = стр. 41 гр. 4</w:t>
      </w:r>
    </w:p>
    <w:p w14:paraId="502175E4" w14:textId="3F4379AB" w:rsidR="00E6164C" w:rsidRPr="0038282D" w:rsidRDefault="0006142A" w:rsidP="0006142A">
      <w:pPr>
        <w:pStyle w:val="ac"/>
        <w:spacing w:before="160"/>
        <w:ind w:firstLine="709"/>
        <w:jc w:val="both"/>
        <w:rPr>
          <w:rFonts w:ascii="Times New Roman" w:hAnsi="Times New Roman"/>
          <w:sz w:val="28"/>
          <w:szCs w:val="28"/>
        </w:rPr>
      </w:pPr>
      <w:r w:rsidRPr="0038282D">
        <w:rPr>
          <w:rFonts w:ascii="Times New Roman" w:hAnsi="Times New Roman"/>
          <w:sz w:val="28"/>
          <w:szCs w:val="28"/>
        </w:rPr>
        <w:t>С целью</w:t>
      </w:r>
      <w:r w:rsidR="003B484E" w:rsidRPr="0038282D">
        <w:rPr>
          <w:rFonts w:ascii="Times New Roman" w:hAnsi="Times New Roman"/>
          <w:sz w:val="28"/>
          <w:szCs w:val="28"/>
        </w:rPr>
        <w:t xml:space="preserve"> получения качественно составленных отчетов по форме № 11 следует </w:t>
      </w:r>
      <w:r w:rsidR="0079347F" w:rsidRPr="0038282D">
        <w:rPr>
          <w:rFonts w:ascii="Times New Roman" w:hAnsi="Times New Roman"/>
          <w:sz w:val="28"/>
          <w:szCs w:val="28"/>
        </w:rPr>
        <w:t>изучить</w:t>
      </w:r>
      <w:r w:rsidR="003B484E" w:rsidRPr="0038282D">
        <w:rPr>
          <w:rFonts w:ascii="Times New Roman" w:hAnsi="Times New Roman"/>
          <w:sz w:val="28"/>
          <w:szCs w:val="28"/>
        </w:rPr>
        <w:t xml:space="preserve"> Указания и</w:t>
      </w:r>
      <w:r w:rsidR="0079347F" w:rsidRPr="0038282D">
        <w:rPr>
          <w:rFonts w:ascii="Times New Roman" w:hAnsi="Times New Roman"/>
          <w:sz w:val="28"/>
          <w:szCs w:val="28"/>
        </w:rPr>
        <w:t xml:space="preserve"> при заполнении формы соблюдать </w:t>
      </w:r>
      <w:r w:rsidR="00027AD4" w:rsidRPr="0038282D">
        <w:rPr>
          <w:rFonts w:ascii="Times New Roman" w:hAnsi="Times New Roman"/>
          <w:sz w:val="28"/>
          <w:szCs w:val="28"/>
        </w:rPr>
        <w:t>обязательные контрол</w:t>
      </w:r>
      <w:r w:rsidR="00027AD4">
        <w:rPr>
          <w:rFonts w:ascii="Times New Roman" w:hAnsi="Times New Roman"/>
          <w:sz w:val="28"/>
          <w:szCs w:val="28"/>
        </w:rPr>
        <w:t>ьные соотношения, приведенные</w:t>
      </w:r>
      <w:r w:rsidR="0079347F" w:rsidRPr="0038282D">
        <w:rPr>
          <w:rFonts w:ascii="Times New Roman" w:hAnsi="Times New Roman"/>
          <w:sz w:val="28"/>
          <w:szCs w:val="28"/>
        </w:rPr>
        <w:t xml:space="preserve"> в них</w:t>
      </w:r>
      <w:r w:rsidR="003B484E" w:rsidRPr="0038282D">
        <w:rPr>
          <w:rFonts w:ascii="Times New Roman" w:hAnsi="Times New Roman"/>
          <w:sz w:val="28"/>
          <w:szCs w:val="28"/>
        </w:rPr>
        <w:t xml:space="preserve">. </w:t>
      </w:r>
      <w:r w:rsidR="00E6164C" w:rsidRPr="0038282D">
        <w:rPr>
          <w:rFonts w:ascii="Times New Roman" w:hAnsi="Times New Roman"/>
          <w:sz w:val="28"/>
          <w:szCs w:val="28"/>
        </w:rPr>
        <w:t>Просим учесть рекомендации для повышения качества формируемой информации и снижения трудоемкости по обработке информационных массивов.</w:t>
      </w:r>
    </w:p>
    <w:p w14:paraId="28368F3A" w14:textId="77777777" w:rsidR="00E6164C" w:rsidRPr="0038282D" w:rsidRDefault="00E6164C" w:rsidP="003E09BA">
      <w:pPr>
        <w:suppressAutoHyphens/>
        <w:ind w:firstLine="709"/>
        <w:jc w:val="both"/>
        <w:rPr>
          <w:sz w:val="28"/>
          <w:szCs w:val="28"/>
        </w:rPr>
      </w:pPr>
    </w:p>
    <w:p w14:paraId="7D349FDA" w14:textId="77777777" w:rsidR="0066725A" w:rsidRPr="0038282D" w:rsidRDefault="0066725A" w:rsidP="003E09BA">
      <w:pPr>
        <w:ind w:firstLine="709"/>
        <w:rPr>
          <w:sz w:val="16"/>
          <w:szCs w:val="16"/>
        </w:rPr>
      </w:pPr>
      <w:r w:rsidRPr="0038282D">
        <w:rPr>
          <w:sz w:val="28"/>
          <w:szCs w:val="28"/>
        </w:rPr>
        <w:t>Благодарим за сотрудничество!</w:t>
      </w:r>
      <w:r w:rsidRPr="0038282D">
        <w:rPr>
          <w:sz w:val="16"/>
          <w:szCs w:val="16"/>
        </w:rPr>
        <w:t xml:space="preserve"> </w:t>
      </w:r>
    </w:p>
    <w:p w14:paraId="33174FA2" w14:textId="77777777" w:rsidR="00CF5BB6" w:rsidRPr="0038282D" w:rsidRDefault="00CF5BB6" w:rsidP="003E09BA">
      <w:pPr>
        <w:suppressAutoHyphens/>
        <w:ind w:firstLine="709"/>
        <w:jc w:val="both"/>
        <w:rPr>
          <w:sz w:val="28"/>
          <w:szCs w:val="28"/>
        </w:rPr>
      </w:pPr>
    </w:p>
    <w:p w14:paraId="66E56B8C" w14:textId="77777777" w:rsidR="0066725A" w:rsidRPr="0038282D" w:rsidRDefault="0066725A" w:rsidP="003E09BA">
      <w:pPr>
        <w:suppressAutoHyphens/>
        <w:ind w:firstLine="709"/>
        <w:jc w:val="both"/>
        <w:rPr>
          <w:sz w:val="28"/>
          <w:szCs w:val="28"/>
        </w:rPr>
      </w:pPr>
    </w:p>
    <w:p w14:paraId="44E4059E" w14:textId="521B9959" w:rsidR="00CF5BB6" w:rsidRPr="0038282D" w:rsidRDefault="00CF5BB6" w:rsidP="003E09BA">
      <w:pPr>
        <w:jc w:val="both"/>
        <w:rPr>
          <w:bCs/>
          <w:sz w:val="28"/>
          <w:szCs w:val="28"/>
        </w:rPr>
      </w:pPr>
      <w:r w:rsidRPr="0038282D">
        <w:rPr>
          <w:bCs/>
          <w:sz w:val="28"/>
          <w:szCs w:val="28"/>
        </w:rPr>
        <w:t>Контактны</w:t>
      </w:r>
      <w:r w:rsidR="00410B18" w:rsidRPr="0038282D">
        <w:rPr>
          <w:bCs/>
          <w:sz w:val="28"/>
          <w:szCs w:val="28"/>
        </w:rPr>
        <w:t>й телефон</w:t>
      </w:r>
      <w:r w:rsidRPr="0038282D">
        <w:rPr>
          <w:bCs/>
          <w:sz w:val="28"/>
          <w:szCs w:val="28"/>
        </w:rPr>
        <w:t xml:space="preserve"> для консультаций:</w:t>
      </w:r>
    </w:p>
    <w:p w14:paraId="7AB84BB9" w14:textId="77777777" w:rsidR="00CF5BB6" w:rsidRPr="0038282D" w:rsidRDefault="00CF5BB6" w:rsidP="003E09BA">
      <w:pPr>
        <w:jc w:val="both"/>
        <w:rPr>
          <w:bCs/>
          <w:sz w:val="28"/>
          <w:szCs w:val="28"/>
        </w:rPr>
      </w:pPr>
    </w:p>
    <w:p w14:paraId="604ACA1A" w14:textId="74E509CC" w:rsidR="00CF5BB6" w:rsidRPr="0038282D" w:rsidRDefault="003D0FC4" w:rsidP="003E09BA">
      <w:pPr>
        <w:jc w:val="both"/>
        <w:rPr>
          <w:bCs/>
          <w:sz w:val="28"/>
          <w:szCs w:val="28"/>
        </w:rPr>
      </w:pPr>
      <w:r w:rsidRPr="0038282D">
        <w:rPr>
          <w:bCs/>
          <w:sz w:val="28"/>
          <w:szCs w:val="28"/>
        </w:rPr>
        <w:t>+7(856) 303-23-38</w:t>
      </w:r>
    </w:p>
    <w:p w14:paraId="1B81AEDF" w14:textId="77777777" w:rsidR="001707C4" w:rsidRPr="0038282D" w:rsidRDefault="001707C4" w:rsidP="003E09BA">
      <w:pPr>
        <w:rPr>
          <w:sz w:val="28"/>
          <w:szCs w:val="28"/>
        </w:rPr>
      </w:pPr>
    </w:p>
    <w:sectPr w:rsidR="001707C4" w:rsidRPr="0038282D" w:rsidSect="008D2F4A">
      <w:headerReference w:type="even" r:id="rId15"/>
      <w:headerReference w:type="default" r:id="rId16"/>
      <w:pgSz w:w="11907" w:h="16840" w:code="9"/>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781D" w14:textId="77777777" w:rsidR="006604B0" w:rsidRDefault="006604B0">
      <w:r>
        <w:separator/>
      </w:r>
    </w:p>
  </w:endnote>
  <w:endnote w:type="continuationSeparator" w:id="0">
    <w:p w14:paraId="62EB5C7E" w14:textId="77777777" w:rsidR="006604B0" w:rsidRDefault="0066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C2E9" w14:textId="77777777" w:rsidR="006604B0" w:rsidRDefault="006604B0">
      <w:r>
        <w:separator/>
      </w:r>
    </w:p>
  </w:footnote>
  <w:footnote w:type="continuationSeparator" w:id="0">
    <w:p w14:paraId="2676A72D" w14:textId="77777777" w:rsidR="006604B0" w:rsidRDefault="0066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9F1F" w14:textId="77777777" w:rsidR="002C6B50" w:rsidRDefault="003610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0642B9F" w14:textId="77777777" w:rsidR="002C6B50" w:rsidRDefault="00963C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8E17" w14:textId="77777777" w:rsidR="002C6B50" w:rsidRDefault="0036108E">
    <w:pPr>
      <w:pStyle w:val="a3"/>
      <w:jc w:val="center"/>
    </w:pPr>
    <w:r>
      <w:fldChar w:fldCharType="begin"/>
    </w:r>
    <w:r>
      <w:instrText>PAGE   \* MERGEFORMAT</w:instrText>
    </w:r>
    <w:r>
      <w:fldChar w:fldCharType="separate"/>
    </w:r>
    <w:r w:rsidR="00963C2C">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51"/>
    <w:rsid w:val="000059B0"/>
    <w:rsid w:val="000072FC"/>
    <w:rsid w:val="00017391"/>
    <w:rsid w:val="00027AD4"/>
    <w:rsid w:val="0006142A"/>
    <w:rsid w:val="00081C8D"/>
    <w:rsid w:val="000B1566"/>
    <w:rsid w:val="000B556E"/>
    <w:rsid w:val="000C2893"/>
    <w:rsid w:val="000E37D2"/>
    <w:rsid w:val="00115332"/>
    <w:rsid w:val="00123938"/>
    <w:rsid w:val="001404E4"/>
    <w:rsid w:val="00140B7F"/>
    <w:rsid w:val="00157E7F"/>
    <w:rsid w:val="001707C4"/>
    <w:rsid w:val="001900BA"/>
    <w:rsid w:val="0019228E"/>
    <w:rsid w:val="001B029C"/>
    <w:rsid w:val="001F0897"/>
    <w:rsid w:val="001F0A4D"/>
    <w:rsid w:val="002215D6"/>
    <w:rsid w:val="00330945"/>
    <w:rsid w:val="00355BD0"/>
    <w:rsid w:val="003560FA"/>
    <w:rsid w:val="00360603"/>
    <w:rsid w:val="0036108E"/>
    <w:rsid w:val="00376875"/>
    <w:rsid w:val="003801D2"/>
    <w:rsid w:val="0038282D"/>
    <w:rsid w:val="003841D7"/>
    <w:rsid w:val="003845D1"/>
    <w:rsid w:val="003A4B51"/>
    <w:rsid w:val="003B484E"/>
    <w:rsid w:val="003C7FF9"/>
    <w:rsid w:val="003D0FC4"/>
    <w:rsid w:val="003D6F26"/>
    <w:rsid w:val="003E09BA"/>
    <w:rsid w:val="00403EAD"/>
    <w:rsid w:val="00410B18"/>
    <w:rsid w:val="00435D9B"/>
    <w:rsid w:val="0044152D"/>
    <w:rsid w:val="00445C81"/>
    <w:rsid w:val="00464EBD"/>
    <w:rsid w:val="00472A14"/>
    <w:rsid w:val="0049018A"/>
    <w:rsid w:val="004B177E"/>
    <w:rsid w:val="005210A3"/>
    <w:rsid w:val="00524D58"/>
    <w:rsid w:val="00585139"/>
    <w:rsid w:val="005A7697"/>
    <w:rsid w:val="005B58A3"/>
    <w:rsid w:val="005C3372"/>
    <w:rsid w:val="005E391D"/>
    <w:rsid w:val="00603DBF"/>
    <w:rsid w:val="00604FF0"/>
    <w:rsid w:val="00640B86"/>
    <w:rsid w:val="006604B0"/>
    <w:rsid w:val="0066725A"/>
    <w:rsid w:val="00675075"/>
    <w:rsid w:val="00686808"/>
    <w:rsid w:val="006905C1"/>
    <w:rsid w:val="0069797C"/>
    <w:rsid w:val="00715935"/>
    <w:rsid w:val="007250F0"/>
    <w:rsid w:val="00730ACC"/>
    <w:rsid w:val="00732DA3"/>
    <w:rsid w:val="007459C5"/>
    <w:rsid w:val="00755E38"/>
    <w:rsid w:val="007773E7"/>
    <w:rsid w:val="0079347F"/>
    <w:rsid w:val="007B0785"/>
    <w:rsid w:val="007B7177"/>
    <w:rsid w:val="007C02DB"/>
    <w:rsid w:val="007E3AF0"/>
    <w:rsid w:val="008052A8"/>
    <w:rsid w:val="00871BB9"/>
    <w:rsid w:val="008A514B"/>
    <w:rsid w:val="008B133D"/>
    <w:rsid w:val="008D1389"/>
    <w:rsid w:val="008D2947"/>
    <w:rsid w:val="008D2F4A"/>
    <w:rsid w:val="008E2E4B"/>
    <w:rsid w:val="008F09E4"/>
    <w:rsid w:val="008F1AA4"/>
    <w:rsid w:val="008F36E5"/>
    <w:rsid w:val="00907AD2"/>
    <w:rsid w:val="00922CC0"/>
    <w:rsid w:val="0093148E"/>
    <w:rsid w:val="00952494"/>
    <w:rsid w:val="0096345F"/>
    <w:rsid w:val="00963C2C"/>
    <w:rsid w:val="00964B08"/>
    <w:rsid w:val="009B59BC"/>
    <w:rsid w:val="009C0432"/>
    <w:rsid w:val="009D5E4D"/>
    <w:rsid w:val="009D6D52"/>
    <w:rsid w:val="009E7BFA"/>
    <w:rsid w:val="009F503A"/>
    <w:rsid w:val="00A008A7"/>
    <w:rsid w:val="00A02301"/>
    <w:rsid w:val="00A23E32"/>
    <w:rsid w:val="00A3024E"/>
    <w:rsid w:val="00A4011D"/>
    <w:rsid w:val="00A4780D"/>
    <w:rsid w:val="00A643CE"/>
    <w:rsid w:val="00AD3718"/>
    <w:rsid w:val="00AF322F"/>
    <w:rsid w:val="00B02C91"/>
    <w:rsid w:val="00B1370D"/>
    <w:rsid w:val="00B50405"/>
    <w:rsid w:val="00B57F20"/>
    <w:rsid w:val="00B62996"/>
    <w:rsid w:val="00B9796C"/>
    <w:rsid w:val="00BB1F71"/>
    <w:rsid w:val="00BD1A52"/>
    <w:rsid w:val="00BE2457"/>
    <w:rsid w:val="00BE7250"/>
    <w:rsid w:val="00C013B9"/>
    <w:rsid w:val="00C07CE1"/>
    <w:rsid w:val="00C52F8A"/>
    <w:rsid w:val="00C732D0"/>
    <w:rsid w:val="00C95F50"/>
    <w:rsid w:val="00CB30DA"/>
    <w:rsid w:val="00CD791E"/>
    <w:rsid w:val="00CF132B"/>
    <w:rsid w:val="00CF5BB6"/>
    <w:rsid w:val="00CF6817"/>
    <w:rsid w:val="00D10690"/>
    <w:rsid w:val="00D425E5"/>
    <w:rsid w:val="00D71AF5"/>
    <w:rsid w:val="00D911C1"/>
    <w:rsid w:val="00DB32E6"/>
    <w:rsid w:val="00E07C26"/>
    <w:rsid w:val="00E20FBC"/>
    <w:rsid w:val="00E60C4C"/>
    <w:rsid w:val="00E6164C"/>
    <w:rsid w:val="00E72F62"/>
    <w:rsid w:val="00E823C8"/>
    <w:rsid w:val="00E84099"/>
    <w:rsid w:val="00EA399B"/>
    <w:rsid w:val="00EB06C9"/>
    <w:rsid w:val="00EC7DE3"/>
    <w:rsid w:val="00ED5649"/>
    <w:rsid w:val="00F0489C"/>
    <w:rsid w:val="00F16999"/>
    <w:rsid w:val="00F255D3"/>
    <w:rsid w:val="00F25EE6"/>
    <w:rsid w:val="00F805AD"/>
    <w:rsid w:val="00F86528"/>
    <w:rsid w:val="00F86EAE"/>
    <w:rsid w:val="00F86F3B"/>
    <w:rsid w:val="00F94426"/>
    <w:rsid w:val="00FA4F50"/>
    <w:rsid w:val="00FA5744"/>
    <w:rsid w:val="00FD1141"/>
    <w:rsid w:val="00F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42DA"/>
  <w15:chartTrackingRefBased/>
  <w15:docId w15:val="{22FF138B-6774-4699-BDE0-B7AF12CE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B5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4B51"/>
    <w:pPr>
      <w:tabs>
        <w:tab w:val="center" w:pos="4536"/>
        <w:tab w:val="right" w:pos="9072"/>
      </w:tabs>
    </w:pPr>
  </w:style>
  <w:style w:type="character" w:customStyle="1" w:styleId="a4">
    <w:name w:val="Верхний колонтитул Знак"/>
    <w:basedOn w:val="a0"/>
    <w:link w:val="a3"/>
    <w:uiPriority w:val="99"/>
    <w:rsid w:val="003A4B51"/>
    <w:rPr>
      <w:rFonts w:ascii="Times New Roman" w:eastAsia="Times New Roman" w:hAnsi="Times New Roman" w:cs="Times New Roman"/>
      <w:sz w:val="24"/>
      <w:szCs w:val="20"/>
      <w:lang w:eastAsia="ru-RU"/>
    </w:rPr>
  </w:style>
  <w:style w:type="character" w:styleId="a5">
    <w:name w:val="page number"/>
    <w:basedOn w:val="a0"/>
    <w:semiHidden/>
    <w:rsid w:val="003A4B51"/>
  </w:style>
  <w:style w:type="paragraph" w:styleId="a6">
    <w:name w:val="Date"/>
    <w:basedOn w:val="a"/>
    <w:next w:val="a"/>
    <w:link w:val="a7"/>
    <w:semiHidden/>
    <w:rsid w:val="003A4B51"/>
  </w:style>
  <w:style w:type="character" w:customStyle="1" w:styleId="a7">
    <w:name w:val="Дата Знак"/>
    <w:basedOn w:val="a0"/>
    <w:link w:val="a6"/>
    <w:semiHidden/>
    <w:rsid w:val="003A4B51"/>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CF5BB6"/>
    <w:rPr>
      <w:rFonts w:ascii="Segoe UI" w:hAnsi="Segoe UI" w:cs="Segoe UI"/>
      <w:sz w:val="18"/>
      <w:szCs w:val="18"/>
    </w:rPr>
  </w:style>
  <w:style w:type="character" w:customStyle="1" w:styleId="a9">
    <w:name w:val="Текст выноски Знак"/>
    <w:basedOn w:val="a0"/>
    <w:link w:val="a8"/>
    <w:uiPriority w:val="99"/>
    <w:semiHidden/>
    <w:rsid w:val="00CF5BB6"/>
    <w:rPr>
      <w:rFonts w:ascii="Segoe UI" w:eastAsia="Times New Roman" w:hAnsi="Segoe UI" w:cs="Segoe UI"/>
      <w:sz w:val="18"/>
      <w:szCs w:val="18"/>
      <w:lang w:eastAsia="ru-RU"/>
    </w:rPr>
  </w:style>
  <w:style w:type="character" w:styleId="aa">
    <w:name w:val="Hyperlink"/>
    <w:basedOn w:val="a0"/>
    <w:uiPriority w:val="99"/>
    <w:unhideWhenUsed/>
    <w:rsid w:val="008D2F4A"/>
    <w:rPr>
      <w:color w:val="0563C1" w:themeColor="hyperlink"/>
      <w:u w:val="single"/>
    </w:rPr>
  </w:style>
  <w:style w:type="paragraph" w:styleId="ab">
    <w:name w:val="List Paragraph"/>
    <w:basedOn w:val="a"/>
    <w:uiPriority w:val="34"/>
    <w:qFormat/>
    <w:rsid w:val="00B50405"/>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E6164C"/>
    <w:pPr>
      <w:spacing w:after="0" w:line="240" w:lineRule="auto"/>
    </w:pPr>
    <w:rPr>
      <w:rFonts w:ascii="Calibri" w:eastAsia="Calibri" w:hAnsi="Calibri" w:cs="Times New Roman"/>
    </w:rPr>
  </w:style>
  <w:style w:type="character" w:styleId="ad">
    <w:name w:val="FollowedHyperlink"/>
    <w:basedOn w:val="a0"/>
    <w:uiPriority w:val="99"/>
    <w:semiHidden/>
    <w:unhideWhenUsed/>
    <w:rsid w:val="00F86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 TargetMode="External"/><Relationship Id="rId13" Type="http://schemas.openxmlformats.org/officeDocument/2006/relationships/hyperlink" Target="consultantplus://offline/ref=C36C5DA36ED9DD2D780DF4B85C12CFBCA5980615B36AF9E4375E89965BD6BF85CA1095881BE9D252O1R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36C5DA36ED9DD2D780DF4B85C12CFBCA59C0710B368F9E4375E89965BD6BF85CA1095881BE9D251O1R1H" TargetMode="Externa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36C5DA36ED9DD2D780DF4B85C12CFBCA5980615B36AF9E4375E89965BD6BF85CA1095881BE9D252O1R2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6C5DA36ED9DD2D780DF4B85C12CFBCA5980615B36AF9E4375E89965BD6BF85CA1095881BE9D252O1R2H" TargetMode="External"/><Relationship Id="rId4" Type="http://schemas.openxmlformats.org/officeDocument/2006/relationships/webSettings" Target="webSettings.xml"/><Relationship Id="rId9" Type="http://schemas.openxmlformats.org/officeDocument/2006/relationships/hyperlink" Target="consultantplus://offline/ref=C36C5DA36ED9DD2D780DF4B85C12CFBCA59C0710B368F9E4375E89965BD6BF85CA1095881BE9D251O1R1H" TargetMode="External"/><Relationship Id="rId14" Type="http://schemas.openxmlformats.org/officeDocument/2006/relationships/hyperlink" Target="consultantplus://offline/ref=C36C5DA36ED9DD2D780DF4B85C12CFBCA59C0710B368F9E4375E89965BD6BF85CA1095881BE9D251O1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F882-9493-4F38-9C36-F25E7AE3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Елена Николаевна</dc:creator>
  <cp:keywords/>
  <dc:description/>
  <cp:lastModifiedBy>Н.В. Палагний</cp:lastModifiedBy>
  <cp:revision>43</cp:revision>
  <cp:lastPrinted>2024-01-18T10:55:00Z</cp:lastPrinted>
  <dcterms:created xsi:type="dcterms:W3CDTF">2023-12-18T12:31:00Z</dcterms:created>
  <dcterms:modified xsi:type="dcterms:W3CDTF">2024-02-19T06:23:00Z</dcterms:modified>
</cp:coreProperties>
</file>